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黑体简体" w:eastAsia="方正黑体简体"/>
          <w:sz w:val="44"/>
          <w:szCs w:val="44"/>
        </w:rPr>
      </w:pPr>
      <w:r>
        <w:rPr>
          <w:rFonts w:hint="eastAsia" w:ascii="方正黑体简体" w:eastAsia="方正黑体简体"/>
          <w:sz w:val="44"/>
          <w:szCs w:val="44"/>
        </w:rPr>
        <w:t>上海财经大学浙江学院</w:t>
      </w:r>
    </w:p>
    <w:p>
      <w:pPr>
        <w:jc w:val="center"/>
        <w:rPr>
          <w:rFonts w:ascii="方正小标宋简体" w:eastAsia="方正小标宋简体"/>
          <w:sz w:val="36"/>
          <w:szCs w:val="36"/>
        </w:rPr>
      </w:pPr>
      <w:r>
        <w:rPr>
          <w:rFonts w:hint="eastAsia" w:ascii="方正黑体简体" w:eastAsia="方正黑体简体"/>
          <w:sz w:val="44"/>
          <w:szCs w:val="44"/>
        </w:rPr>
        <w:t>固定资产损坏、丢失赔偿实施细则</w:t>
      </w:r>
    </w:p>
    <w:p>
      <w:pPr>
        <w:jc w:val="center"/>
      </w:pPr>
    </w:p>
    <w:p>
      <w:pPr>
        <w:spacing w:line="560" w:lineRule="exact"/>
        <w:jc w:val="center"/>
        <w:rPr>
          <w:rFonts w:ascii="仿宋_GB2312" w:eastAsia="仿宋_GB2312"/>
          <w:b/>
          <w:bCs/>
          <w:sz w:val="32"/>
          <w:szCs w:val="32"/>
        </w:rPr>
      </w:pPr>
      <w:r>
        <w:rPr>
          <w:rFonts w:hint="eastAsia" w:ascii="仿宋_GB2312" w:eastAsia="仿宋_GB2312"/>
          <w:b/>
          <w:bCs/>
          <w:sz w:val="32"/>
          <w:szCs w:val="32"/>
        </w:rPr>
        <w:t>第一章  总  则</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为加强学院固定资产管理，维护学院固定资产的安全完整，根据《金华市本级行政事业单位国有资产管理暂行办法》、《金华市本级行政事业单位固定资产损坏、丢失赔偿处理暂行办法》等有关规定，结合学院实际，特制定本办法。</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第二条</w:t>
      </w:r>
      <w:r>
        <w:rPr>
          <w:rFonts w:hint="eastAsia" w:ascii="仿宋_GB2312" w:eastAsia="仿宋_GB2312"/>
          <w:sz w:val="32"/>
          <w:szCs w:val="32"/>
        </w:rPr>
        <w:t xml:space="preserve"> 各部门应加强固定资产的管理，建立固定资产明细，对增减的固定资产及时做好入账和账目调整工作，消除有物无账、有账无物的现象。配备给个人使用的固定资产由个人负责妥善保管并爱护；属于公共场所及各部门公用的资产，各部门指定专人负责，不得随意串用或借给其他单位使用，更不得化公为私。</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凡因责任事故造成固定资产损坏、丢失的，均应赔偿，并对相关责任人实行责任追究制。根据事故具体情节、资产性质、价值大小、当事人的事后态度等情况，确定赔偿责任及金额。</w:t>
      </w:r>
    </w:p>
    <w:p>
      <w:pPr>
        <w:spacing w:line="560" w:lineRule="exact"/>
        <w:jc w:val="center"/>
        <w:rPr>
          <w:rFonts w:ascii="仿宋_GB2312" w:eastAsia="仿宋_GB2312"/>
          <w:b/>
          <w:bCs/>
          <w:sz w:val="32"/>
          <w:szCs w:val="32"/>
        </w:rPr>
      </w:pPr>
      <w:r>
        <w:rPr>
          <w:rFonts w:hint="eastAsia" w:ascii="仿宋_GB2312" w:eastAsia="仿宋_GB2312"/>
          <w:b/>
          <w:bCs/>
          <w:sz w:val="32"/>
          <w:szCs w:val="32"/>
        </w:rPr>
        <w:t>第二章  赔偿责任的界定</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下列原因导致固定资产损坏的，应予赔偿：</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（一）故意损坏固定资产的；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（二）未经资产归口管理职能部门批准擅自移动、拆卸、改装固定资产造成损坏的，擅自将固定资产公物私用、外借造成损坏的；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（三）违反操作规程，造成固定资产损坏的；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（四）产品质保期内因未使用导致没有发现质量问题或使用过程中发现质量问题不如实上报，造成损坏的；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（五）使用部门没有明确固定资产保管责任造成资产损坏的;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（六）由于工作失职、指导错误或保管不妥而造成损坏的；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（七）其他由于不遵守规章制度等主观原因造成损坏的。</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下列原因导致固定资产丢失的，应予赔偿：</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（一）因保管不善造成固定资产的丢失或被盗的；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（二）因公物私用后造成固定资产丢失或被盗的；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（三）因擅自外借造成固定资产丢失或被盗的；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（四）属个人领取、保管、借用的便携仪器设备丢失或被盗的。</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由于下列客观原因造成固定资产损坏、丢失的，经有关部门技术鉴定和确认，可免于赔偿：</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（一）由于自然灾害或意外事故等发生在校内的不可抗力因素造成的资产损失；</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（二）已采取了必要的安全防范措施仍未能避免资产盗失，已向学院保卫处或公安机关报案，经公安部门侦查属于盗窃行为等造成资产损失的；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（三）已严格按照技术操作规程或相关规定规则操作使用资产，经相关职能部门或技术专家鉴定确因非责任人过错原因引起的资产损失；</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（四）因固定资产本身的缺陷或使用年限长久，接近报废程度，在正常使用时发生的损坏和合理的自然损耗；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（五）经过资产归口管理职能部门批准，已采取预防措施，使用固定资产试行新的操作或检修时发生损坏的；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（六）发生资产损失人为过错责任事故后已采取补救措施自行挽回损失或经本人修复，不影响资产使用功能的；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（七）其它不可抗拒的客观原因造成的损失。</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第七条</w:t>
      </w:r>
      <w:r>
        <w:rPr>
          <w:rFonts w:hint="eastAsia" w:ascii="仿宋_GB2312" w:eastAsia="仿宋_GB2312"/>
          <w:sz w:val="32"/>
          <w:szCs w:val="32"/>
        </w:rPr>
        <w:t xml:space="preserve"> 属于下列情况的，在确定赔偿金额时，可酌情减轻赔偿：</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（一）严格按照操作规程进行操作，确因缺乏经验或技术上的不熟练造成损坏的；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（二）一贯遵守规章制度、爱护学院资产，偶尔疏忽造成损坏或丢失；</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（三）发生事故后，能积极设法减轻损失，且主动如实报告资产归口管理职能部门；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（四）因工作需要携带固定资产外出工作或在搬迁过程中已采取安全措施仍发生资产损坏或丢失；</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第八条</w:t>
      </w:r>
      <w:r>
        <w:rPr>
          <w:rFonts w:hint="eastAsia" w:ascii="仿宋_GB2312" w:eastAsia="仿宋_GB2312"/>
          <w:sz w:val="32"/>
          <w:szCs w:val="32"/>
        </w:rPr>
        <w:t xml:space="preserve"> 属于下列情况的除责令赔偿外，还应根据具体情况给予行政处分或依法追究法律责任：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（一）故意损坏固定资产的；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（二）严重不负责任，严重违反操作规程；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（三）发生固定资产损坏、丢失事故隐瞒不报，推诿责任，态度恶劣；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（四）固定资产损坏、丢失后伪造现场或谎报情节，弄虚作假；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（五）未经批准，擅自将学院资产挪作私用、出租、出借造成损坏、丢失；</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（六）固定资产损失重大，后果严重。</w:t>
      </w:r>
    </w:p>
    <w:p>
      <w:pPr>
        <w:spacing w:line="560" w:lineRule="exact"/>
        <w:jc w:val="center"/>
        <w:rPr>
          <w:rFonts w:ascii="仿宋_GB2312" w:eastAsia="仿宋_GB2312"/>
          <w:b/>
          <w:bCs/>
          <w:sz w:val="32"/>
          <w:szCs w:val="32"/>
        </w:rPr>
      </w:pPr>
    </w:p>
    <w:p>
      <w:pPr>
        <w:spacing w:line="560" w:lineRule="exact"/>
        <w:jc w:val="center"/>
        <w:rPr>
          <w:rFonts w:ascii="仿宋_GB2312" w:eastAsia="仿宋_GB2312"/>
          <w:b/>
          <w:bCs/>
          <w:sz w:val="32"/>
          <w:szCs w:val="32"/>
        </w:rPr>
      </w:pPr>
      <w:r>
        <w:rPr>
          <w:rFonts w:hint="eastAsia" w:ascii="仿宋_GB2312" w:eastAsia="仿宋_GB2312"/>
          <w:b/>
          <w:bCs/>
          <w:sz w:val="32"/>
          <w:szCs w:val="32"/>
        </w:rPr>
        <w:t>第三章  赔偿方式及标准</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 xml:space="preserve">第九条 </w:t>
      </w:r>
      <w:r>
        <w:rPr>
          <w:rFonts w:hint="eastAsia" w:ascii="仿宋_GB2312" w:eastAsia="仿宋_GB2312"/>
          <w:sz w:val="32"/>
          <w:szCs w:val="32"/>
        </w:rPr>
        <w:t>固定资产轻微损坏的，按以下原则进行计价：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（一）损坏零配件的，只计算零配件的损失价值；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（二）局部损坏可修复的，只计算修理费；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（三）损坏后质量明显下降但尚能使用的，按损坏的零配件价值与修理费合计金额赔偿。</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 xml:space="preserve">第十条 </w:t>
      </w:r>
      <w:r>
        <w:rPr>
          <w:rFonts w:hint="eastAsia" w:ascii="仿宋_GB2312" w:eastAsia="仿宋_GB2312"/>
          <w:sz w:val="32"/>
          <w:szCs w:val="32"/>
        </w:rPr>
        <w:t>经查证认定需要由相关责任人承担资产损失赔偿责任的，赔偿标准主要依据资产的原值、规定的使用年限、已使用年数及保险理赔、报废资产的变价收入等情况计算确定。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（一）对未到规定使用年限的资产丢失或报废的，具体计算公式为：应赔偿金额＝原值÷规定使用年限×（规定使用年限－已用年限）。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（注：原值＝购置该资产时的入账价值。）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（二）对已用年限大于等于规定使用年限的资产丢失的，按照同类资产报废变价收入确定赔偿金额，最低赔偿金额原则上不低于原值的5%。</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（三）对无规定使用年限的资产丢失或损坏报废的，按照实际损失金额赔偿，最低赔偿金额原则上不低于原值的</w:t>
      </w:r>
      <w:r>
        <w:rPr>
          <w:rFonts w:ascii="仿宋_GB2312" w:eastAsia="仿宋_GB2312"/>
          <w:sz w:val="32"/>
          <w:szCs w:val="32"/>
        </w:rPr>
        <w:t>5</w:t>
      </w:r>
      <w:r>
        <w:rPr>
          <w:rFonts w:hint="eastAsia" w:ascii="仿宋_GB2312" w:eastAsia="仿宋_GB2312"/>
          <w:sz w:val="32"/>
          <w:szCs w:val="32"/>
        </w:rPr>
        <w:t>%。</w:t>
      </w:r>
    </w:p>
    <w:p>
      <w:pPr>
        <w:spacing w:line="560" w:lineRule="exact"/>
        <w:ind w:firstLine="643" w:firstLineChars="200"/>
        <w:rPr>
          <w:rFonts w:ascii="仿宋_GB2312" w:eastAsia="仿宋_GB2312"/>
          <w:bCs/>
          <w:sz w:val="32"/>
          <w:szCs w:val="32"/>
        </w:rPr>
      </w:pPr>
      <w:r>
        <w:rPr>
          <w:rFonts w:hint="eastAsia" w:ascii="仿宋_GB2312" w:eastAsia="仿宋_GB2312"/>
          <w:b/>
          <w:sz w:val="32"/>
          <w:szCs w:val="32"/>
        </w:rPr>
        <w:t>第十一条</w:t>
      </w:r>
      <w:r>
        <w:rPr>
          <w:rFonts w:hint="eastAsia" w:ascii="仿宋_GB2312" w:eastAsia="仿宋_GB2312"/>
          <w:sz w:val="32"/>
          <w:szCs w:val="32"/>
        </w:rPr>
        <w:t xml:space="preserve"> </w:t>
      </w:r>
      <w:r>
        <w:rPr>
          <w:rFonts w:hint="eastAsia" w:ascii="仿宋_GB2312" w:eastAsia="仿宋_GB2312"/>
          <w:bCs/>
          <w:sz w:val="32"/>
          <w:szCs w:val="32"/>
        </w:rPr>
        <w:t>损坏、丢失固定资产的责任事故，属于多人共同负责的，应根据每个人的责任大小和表现认识，分别承担赔偿责任。</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 xml:space="preserve">第十二条 </w:t>
      </w:r>
      <w:r>
        <w:rPr>
          <w:rFonts w:hint="eastAsia" w:ascii="仿宋_GB2312" w:eastAsia="仿宋_GB2312"/>
          <w:sz w:val="32"/>
          <w:szCs w:val="32"/>
        </w:rPr>
        <w:t>固定资产的损坏或丢失赔偿，责任人愿意用实物抵偿的可接受实物赔偿，赔偿的仪器设备的性能技术指标不能低于原设备，由资产归口管理部门鉴别接收并完成相关手续。</w:t>
      </w:r>
    </w:p>
    <w:p>
      <w:pPr>
        <w:spacing w:line="560" w:lineRule="exact"/>
        <w:ind w:firstLine="640" w:firstLineChars="200"/>
        <w:rPr>
          <w:rFonts w:ascii="仿宋_GB2312" w:eastAsia="仿宋_GB2312"/>
          <w:color w:val="FF0000"/>
          <w:sz w:val="32"/>
          <w:szCs w:val="32"/>
        </w:rPr>
      </w:pPr>
    </w:p>
    <w:p>
      <w:pPr>
        <w:spacing w:line="560" w:lineRule="exact"/>
        <w:jc w:val="center"/>
        <w:rPr>
          <w:rFonts w:ascii="仿宋_GB2312" w:eastAsia="仿宋_GB2312"/>
          <w:b/>
          <w:bCs/>
          <w:sz w:val="32"/>
          <w:szCs w:val="32"/>
        </w:rPr>
      </w:pPr>
      <w:r>
        <w:rPr>
          <w:rFonts w:hint="eastAsia" w:ascii="仿宋_GB2312" w:eastAsia="仿宋_GB2312"/>
          <w:b/>
          <w:bCs/>
          <w:sz w:val="32"/>
          <w:szCs w:val="32"/>
        </w:rPr>
        <w:t>第四章  赔偿处理程序</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xml:space="preserve"> 固定资产损坏、丢失事故发生后，使用部门应及时向学院资产管理部门报告，同时查明损坏或丢失的情况及原因。发生被盗的，应保护好现场，并迅速报告学院保卫处或公安机关查处，由公安机关立案处理、出具证明或鉴定。对特别重大的事故还应成立工作组查处。</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 xml:space="preserve">第十四条 </w:t>
      </w:r>
      <w:r>
        <w:rPr>
          <w:rFonts w:hint="eastAsia" w:ascii="仿宋_GB2312" w:eastAsia="仿宋_GB2312"/>
          <w:sz w:val="32"/>
          <w:szCs w:val="32"/>
        </w:rPr>
        <w:t>固定资产损坏丢失事故发生后，由资产管理部门和归口管理职能部门负责牵头事故调查。损坏、丢失固定资产的当事人或使用部门要对事故经过写出书面报告，经所在部门负责人签字确认后报各资产归口管理职能部门，归口管理职能部门提出处理及赔偿意见后报资产设备处审核。损失总值低于10万元报学院分管资产校领导审批，超过10万元（含）的报院长办公会、党委会研究决定。</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第十五条</w:t>
      </w:r>
      <w:r>
        <w:rPr>
          <w:rFonts w:hint="eastAsia" w:ascii="仿宋_GB2312" w:eastAsia="仿宋_GB2312"/>
          <w:sz w:val="32"/>
          <w:szCs w:val="32"/>
        </w:rPr>
        <w:t xml:space="preserve"> 赔偿责任人应在学院做出赔偿决定后一个月之内到计划财务处一次性缴纳赔偿金。逾期未缴纳的，由赔偿人所在单位负责催缴，资产管理处负责督促检查偿还情况。若赔偿责任人一次性缴清确有困难者，可提出申请、经所在部门证实，计划财务处审核同意，可以在半年内分期缴纳。</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 xml:space="preserve">第十六条 </w:t>
      </w:r>
      <w:r>
        <w:rPr>
          <w:rFonts w:hint="eastAsia" w:ascii="仿宋_GB2312" w:eastAsia="仿宋_GB2312"/>
          <w:sz w:val="32"/>
          <w:szCs w:val="32"/>
        </w:rPr>
        <w:t>固定资产损坏或丢失赔偿费用只能由事故责任人个人支付，不得用公款（如：教学经费、科研经费、办公经费、自筹经费、创收经费等）支付。</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 xml:space="preserve">第十七条 </w:t>
      </w:r>
      <w:r>
        <w:rPr>
          <w:rFonts w:hint="eastAsia" w:ascii="仿宋_GB2312" w:eastAsia="仿宋_GB2312"/>
          <w:sz w:val="32"/>
          <w:szCs w:val="32"/>
        </w:rPr>
        <w:t>资产设备管理处根据学院处理决定和缴款证明，将损坏报废、丢失的固定资产实物账从资产使用部门下账，并按照有关规定启动学院待报废资产处置申报程序。</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第十八条</w:t>
      </w:r>
      <w:r>
        <w:rPr>
          <w:rFonts w:hint="eastAsia" w:ascii="仿宋_GB2312" w:eastAsia="仿宋_GB2312"/>
          <w:sz w:val="32"/>
          <w:szCs w:val="32"/>
        </w:rPr>
        <w:t xml:space="preserve"> 被抢、被盗的固定资产，一年后找不到实物的，按保卫处和公安机关的结案资料和使用部门提交的书面报告（包括对当事人的处理意见），注销实物账。</w:t>
      </w:r>
    </w:p>
    <w:p>
      <w:pPr>
        <w:spacing w:line="560" w:lineRule="exact"/>
        <w:jc w:val="center"/>
        <w:rPr>
          <w:rFonts w:hint="eastAsia" w:ascii="仿宋_GB2312" w:eastAsia="仿宋_GB2312"/>
          <w:b/>
          <w:bCs/>
          <w:sz w:val="32"/>
          <w:szCs w:val="32"/>
        </w:rPr>
      </w:pPr>
      <w:bookmarkStart w:id="0" w:name="_GoBack"/>
      <w:r>
        <w:rPr>
          <w:rFonts w:hint="eastAsia" w:ascii="仿宋_GB2312" w:eastAsia="仿宋_GB2312"/>
          <w:b/>
          <w:bCs/>
          <w:sz w:val="32"/>
          <w:szCs w:val="32"/>
        </w:rPr>
        <w:t>第五章  附  则</w:t>
      </w:r>
    </w:p>
    <w:bookmarkEnd w:id="0"/>
    <w:p>
      <w:pPr>
        <w:spacing w:line="560" w:lineRule="exact"/>
        <w:ind w:firstLine="643" w:firstLineChars="200"/>
        <w:rPr>
          <w:rFonts w:ascii="仿宋_GB2312" w:eastAsia="仿宋_GB2312"/>
          <w:sz w:val="32"/>
          <w:szCs w:val="32"/>
        </w:rPr>
      </w:pPr>
      <w:r>
        <w:rPr>
          <w:rFonts w:hint="eastAsia" w:ascii="仿宋_GB2312" w:eastAsia="仿宋_GB2312"/>
          <w:b/>
          <w:sz w:val="32"/>
          <w:szCs w:val="32"/>
        </w:rPr>
        <w:t xml:space="preserve">第十九条 </w:t>
      </w:r>
      <w:r>
        <w:rPr>
          <w:rFonts w:hint="eastAsia" w:ascii="仿宋_GB2312" w:eastAsia="仿宋_GB2312"/>
          <w:sz w:val="32"/>
          <w:szCs w:val="32"/>
        </w:rPr>
        <w:t>本办法由资产设备处负责解释。</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 xml:space="preserve">第二十条 </w:t>
      </w:r>
      <w:r>
        <w:rPr>
          <w:rFonts w:hint="eastAsia" w:ascii="仿宋_GB2312" w:eastAsia="仿宋_GB2312"/>
          <w:sz w:val="32"/>
          <w:szCs w:val="32"/>
        </w:rPr>
        <w:t>本办法自发文之日起执行。</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hAnsiTheme="minorEastAsia"/>
          <w:sz w:val="32"/>
          <w:szCs w:val="32"/>
        </w:rPr>
        <w:t>⒈</w:t>
      </w:r>
      <w:r>
        <w:rPr>
          <w:rFonts w:hint="eastAsia" w:ascii="仿宋_GB2312" w:eastAsia="仿宋_GB2312"/>
          <w:sz w:val="32"/>
          <w:szCs w:val="32"/>
        </w:rPr>
        <w:t>上海财经大学浙江学院常用固定资产使用年限表</w:t>
      </w:r>
    </w:p>
    <w:p>
      <w:pPr>
        <w:spacing w:line="56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hAnsi="宋体" w:eastAsia="仿宋_GB2312"/>
          <w:sz w:val="32"/>
          <w:szCs w:val="32"/>
        </w:rPr>
        <w:t>⒉</w:t>
      </w:r>
      <w:r>
        <w:rPr>
          <w:rFonts w:hint="eastAsia" w:ascii="仿宋_GB2312" w:eastAsia="仿宋_GB2312"/>
          <w:sz w:val="32"/>
          <w:szCs w:val="32"/>
        </w:rPr>
        <w:t>上海财经大学浙江学院资产报损审批表</w:t>
      </w:r>
    </w:p>
    <w:p>
      <w:pPr>
        <w:rPr>
          <w:rFonts w:ascii="方正黑体简体" w:eastAsia="方正黑体简体"/>
          <w:sz w:val="30"/>
          <w:szCs w:val="30"/>
        </w:rPr>
        <w:sectPr>
          <w:pgSz w:w="11906" w:h="16838"/>
          <w:pgMar w:top="1304" w:right="1588" w:bottom="1134" w:left="1644" w:header="851" w:footer="992" w:gutter="0"/>
          <w:cols w:space="425" w:num="1"/>
          <w:docGrid w:type="lines" w:linePitch="312" w:charSpace="0"/>
        </w:sectPr>
      </w:pPr>
    </w:p>
    <w:p>
      <w:pPr>
        <w:spacing w:line="360" w:lineRule="exact"/>
        <w:rPr>
          <w:rFonts w:ascii="方正黑体简体" w:eastAsia="方正黑体简体"/>
          <w:sz w:val="28"/>
          <w:szCs w:val="28"/>
        </w:rPr>
      </w:pPr>
      <w:r>
        <w:rPr>
          <w:rFonts w:hint="eastAsia" w:ascii="方正黑体简体" w:eastAsia="方正黑体简体"/>
          <w:sz w:val="28"/>
          <w:szCs w:val="28"/>
        </w:rPr>
        <w:t>附件1</w:t>
      </w:r>
    </w:p>
    <w:tbl>
      <w:tblPr>
        <w:tblStyle w:val="8"/>
        <w:tblpPr w:leftFromText="180" w:rightFromText="180" w:vertAnchor="text" w:horzAnchor="page" w:tblpX="1397" w:tblpY="375"/>
        <w:tblOverlap w:val="never"/>
        <w:tblW w:w="9082" w:type="dxa"/>
        <w:tblInd w:w="0" w:type="dxa"/>
        <w:tblLayout w:type="fixed"/>
        <w:tblCellMar>
          <w:top w:w="0" w:type="dxa"/>
          <w:left w:w="0" w:type="dxa"/>
          <w:bottom w:w="0" w:type="dxa"/>
          <w:right w:w="0" w:type="dxa"/>
        </w:tblCellMar>
      </w:tblPr>
      <w:tblGrid>
        <w:gridCol w:w="818"/>
        <w:gridCol w:w="6482"/>
        <w:gridCol w:w="1782"/>
      </w:tblGrid>
      <w:tr>
        <w:tblPrEx>
          <w:tblLayout w:type="fixed"/>
          <w:tblCellMar>
            <w:top w:w="0" w:type="dxa"/>
            <w:left w:w="0" w:type="dxa"/>
            <w:bottom w:w="0" w:type="dxa"/>
            <w:right w:w="0" w:type="dxa"/>
          </w:tblCellMar>
        </w:tblPrEx>
        <w:trPr>
          <w:trHeight w:val="284" w:hRule="atLeast"/>
        </w:trPr>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序号</w:t>
            </w:r>
          </w:p>
        </w:tc>
        <w:tc>
          <w:tcPr>
            <w:tcW w:w="6482" w:type="dxa"/>
            <w:tcBorders>
              <w:top w:val="single" w:color="auto" w:sz="4" w:space="0"/>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资  产  类  别</w:t>
            </w:r>
          </w:p>
        </w:tc>
        <w:tc>
          <w:tcPr>
            <w:tcW w:w="1782" w:type="dxa"/>
            <w:tcBorders>
              <w:top w:val="single" w:color="auto" w:sz="4" w:space="0"/>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使用年限</w:t>
            </w:r>
          </w:p>
        </w:tc>
      </w:tr>
      <w:tr>
        <w:tblPrEx>
          <w:tblLayout w:type="fixed"/>
          <w:tblCellMar>
            <w:top w:w="0" w:type="dxa"/>
            <w:left w:w="0" w:type="dxa"/>
            <w:bottom w:w="0" w:type="dxa"/>
            <w:right w:w="0" w:type="dxa"/>
          </w:tblCellMar>
        </w:tblPrEx>
        <w:trPr>
          <w:trHeight w:val="284"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一</w:t>
            </w:r>
          </w:p>
        </w:tc>
        <w:tc>
          <w:tcPr>
            <w:tcW w:w="6482" w:type="dxa"/>
            <w:tcBorders>
              <w:top w:val="nil"/>
              <w:left w:val="nil"/>
              <w:bottom w:val="single" w:color="auto" w:sz="4" w:space="0"/>
              <w:right w:val="single" w:color="auto" w:sz="4" w:space="0"/>
            </w:tcBorders>
            <w:shd w:val="clear" w:color="auto" w:fill="auto"/>
            <w:vAlign w:val="center"/>
          </w:tcPr>
          <w:p>
            <w:pPr>
              <w:widowControl/>
              <w:spacing w:line="270" w:lineRule="atLeas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机动车</w:t>
            </w:r>
          </w:p>
        </w:tc>
        <w:tc>
          <w:tcPr>
            <w:tcW w:w="1782" w:type="dxa"/>
            <w:tcBorders>
              <w:top w:val="nil"/>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p>
        </w:tc>
      </w:tr>
      <w:tr>
        <w:tblPrEx>
          <w:tblLayout w:type="fixed"/>
          <w:tblCellMar>
            <w:top w:w="0" w:type="dxa"/>
            <w:left w:w="0" w:type="dxa"/>
            <w:bottom w:w="0" w:type="dxa"/>
            <w:right w:w="0" w:type="dxa"/>
          </w:tblCellMar>
        </w:tblPrEx>
        <w:trPr>
          <w:trHeight w:val="331"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6482" w:type="dxa"/>
            <w:tcBorders>
              <w:top w:val="nil"/>
              <w:left w:val="nil"/>
              <w:bottom w:val="single" w:color="auto" w:sz="4" w:space="0"/>
              <w:right w:val="single" w:color="auto" w:sz="4" w:space="0"/>
            </w:tcBorders>
            <w:shd w:val="clear" w:color="auto" w:fill="auto"/>
            <w:vAlign w:val="center"/>
          </w:tcPr>
          <w:p>
            <w:pPr>
              <w:widowControl/>
              <w:spacing w:line="270" w:lineRule="atLeas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9座（含9座）以下非营运载客汽车</w:t>
            </w:r>
          </w:p>
        </w:tc>
        <w:tc>
          <w:tcPr>
            <w:tcW w:w="1782" w:type="dxa"/>
            <w:tcBorders>
              <w:top w:val="nil"/>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10年或30万公里</w:t>
            </w:r>
          </w:p>
        </w:tc>
      </w:tr>
      <w:tr>
        <w:tblPrEx>
          <w:tblLayout w:type="fixed"/>
          <w:tblCellMar>
            <w:top w:w="0" w:type="dxa"/>
            <w:left w:w="0" w:type="dxa"/>
            <w:bottom w:w="0" w:type="dxa"/>
            <w:right w:w="0" w:type="dxa"/>
          </w:tblCellMar>
        </w:tblPrEx>
        <w:trPr>
          <w:trHeight w:val="284"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6482" w:type="dxa"/>
            <w:tcBorders>
              <w:top w:val="nil"/>
              <w:left w:val="nil"/>
              <w:bottom w:val="single" w:color="auto" w:sz="4" w:space="0"/>
              <w:right w:val="single" w:color="auto" w:sz="4" w:space="0"/>
            </w:tcBorders>
            <w:shd w:val="clear" w:color="auto" w:fill="auto"/>
            <w:vAlign w:val="center"/>
          </w:tcPr>
          <w:p>
            <w:pPr>
              <w:widowControl/>
              <w:spacing w:line="270" w:lineRule="atLeas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9座以上非营运载客汽车</w:t>
            </w:r>
          </w:p>
        </w:tc>
        <w:tc>
          <w:tcPr>
            <w:tcW w:w="1782" w:type="dxa"/>
            <w:tcBorders>
              <w:top w:val="nil"/>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10年或25万公里</w:t>
            </w:r>
          </w:p>
        </w:tc>
      </w:tr>
      <w:tr>
        <w:tblPrEx>
          <w:tblLayout w:type="fixed"/>
          <w:tblCellMar>
            <w:top w:w="0" w:type="dxa"/>
            <w:left w:w="0" w:type="dxa"/>
            <w:bottom w:w="0" w:type="dxa"/>
            <w:right w:w="0" w:type="dxa"/>
          </w:tblCellMar>
        </w:tblPrEx>
        <w:trPr>
          <w:trHeight w:val="284"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6482" w:type="dxa"/>
            <w:tcBorders>
              <w:top w:val="nil"/>
              <w:left w:val="nil"/>
              <w:bottom w:val="single" w:color="auto" w:sz="4" w:space="0"/>
              <w:right w:val="single" w:color="auto" w:sz="4" w:space="0"/>
            </w:tcBorders>
            <w:shd w:val="clear" w:color="auto" w:fill="auto"/>
            <w:vAlign w:val="center"/>
          </w:tcPr>
          <w:p>
            <w:pPr>
              <w:widowControl/>
              <w:spacing w:line="270" w:lineRule="atLeas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两轮摩托车</w:t>
            </w:r>
          </w:p>
        </w:tc>
        <w:tc>
          <w:tcPr>
            <w:tcW w:w="1782" w:type="dxa"/>
            <w:tcBorders>
              <w:top w:val="nil"/>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8年</w:t>
            </w:r>
          </w:p>
        </w:tc>
      </w:tr>
      <w:tr>
        <w:tblPrEx>
          <w:tblLayout w:type="fixed"/>
          <w:tblCellMar>
            <w:top w:w="0" w:type="dxa"/>
            <w:left w:w="0" w:type="dxa"/>
            <w:bottom w:w="0" w:type="dxa"/>
            <w:right w:w="0" w:type="dxa"/>
          </w:tblCellMar>
        </w:tblPrEx>
        <w:trPr>
          <w:trHeight w:val="284"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6482" w:type="dxa"/>
            <w:tcBorders>
              <w:top w:val="nil"/>
              <w:left w:val="nil"/>
              <w:bottom w:val="single" w:color="auto" w:sz="4" w:space="0"/>
              <w:right w:val="single" w:color="auto" w:sz="4" w:space="0"/>
            </w:tcBorders>
            <w:shd w:val="clear" w:color="auto" w:fill="auto"/>
            <w:vAlign w:val="center"/>
          </w:tcPr>
          <w:p>
            <w:pPr>
              <w:widowControl/>
              <w:spacing w:line="270" w:lineRule="atLeas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三轮摩托车</w:t>
            </w:r>
          </w:p>
        </w:tc>
        <w:tc>
          <w:tcPr>
            <w:tcW w:w="1782" w:type="dxa"/>
            <w:tcBorders>
              <w:top w:val="nil"/>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8年</w:t>
            </w:r>
          </w:p>
        </w:tc>
      </w:tr>
      <w:tr>
        <w:tblPrEx>
          <w:tblLayout w:type="fixed"/>
          <w:tblCellMar>
            <w:top w:w="0" w:type="dxa"/>
            <w:left w:w="0" w:type="dxa"/>
            <w:bottom w:w="0" w:type="dxa"/>
            <w:right w:w="0" w:type="dxa"/>
          </w:tblCellMar>
        </w:tblPrEx>
        <w:trPr>
          <w:trHeight w:val="284"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二</w:t>
            </w:r>
          </w:p>
        </w:tc>
        <w:tc>
          <w:tcPr>
            <w:tcW w:w="6482" w:type="dxa"/>
            <w:tcBorders>
              <w:top w:val="nil"/>
              <w:left w:val="nil"/>
              <w:bottom w:val="single" w:color="auto" w:sz="4" w:space="0"/>
              <w:right w:val="single" w:color="auto" w:sz="4" w:space="0"/>
            </w:tcBorders>
            <w:shd w:val="clear" w:color="auto" w:fill="auto"/>
            <w:vAlign w:val="center"/>
          </w:tcPr>
          <w:p>
            <w:pPr>
              <w:widowControl/>
              <w:spacing w:line="270" w:lineRule="atLeas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办公自动化设备</w:t>
            </w:r>
          </w:p>
        </w:tc>
        <w:tc>
          <w:tcPr>
            <w:tcW w:w="1782" w:type="dxa"/>
            <w:tcBorders>
              <w:top w:val="nil"/>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p>
        </w:tc>
      </w:tr>
      <w:tr>
        <w:tblPrEx>
          <w:tblLayout w:type="fixed"/>
          <w:tblCellMar>
            <w:top w:w="0" w:type="dxa"/>
            <w:left w:w="0" w:type="dxa"/>
            <w:bottom w:w="0" w:type="dxa"/>
            <w:right w:w="0" w:type="dxa"/>
          </w:tblCellMar>
        </w:tblPrEx>
        <w:trPr>
          <w:trHeight w:val="284"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6482" w:type="dxa"/>
            <w:tcBorders>
              <w:top w:val="nil"/>
              <w:left w:val="nil"/>
              <w:bottom w:val="single" w:color="auto" w:sz="4" w:space="0"/>
              <w:right w:val="single" w:color="auto" w:sz="4" w:space="0"/>
            </w:tcBorders>
            <w:shd w:val="clear" w:color="auto" w:fill="auto"/>
            <w:vAlign w:val="center"/>
          </w:tcPr>
          <w:p>
            <w:pPr>
              <w:widowControl/>
              <w:spacing w:line="270" w:lineRule="atLeas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大型计算机</w:t>
            </w:r>
          </w:p>
        </w:tc>
        <w:tc>
          <w:tcPr>
            <w:tcW w:w="1782" w:type="dxa"/>
            <w:tcBorders>
              <w:top w:val="nil"/>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10年</w:t>
            </w:r>
          </w:p>
        </w:tc>
      </w:tr>
      <w:tr>
        <w:tblPrEx>
          <w:tblLayout w:type="fixed"/>
          <w:tblCellMar>
            <w:top w:w="0" w:type="dxa"/>
            <w:left w:w="0" w:type="dxa"/>
            <w:bottom w:w="0" w:type="dxa"/>
            <w:right w:w="0" w:type="dxa"/>
          </w:tblCellMar>
        </w:tblPrEx>
        <w:trPr>
          <w:trHeight w:val="284"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6482" w:type="dxa"/>
            <w:tcBorders>
              <w:top w:val="nil"/>
              <w:left w:val="nil"/>
              <w:bottom w:val="single" w:color="auto" w:sz="4" w:space="0"/>
              <w:right w:val="single" w:color="auto" w:sz="4" w:space="0"/>
            </w:tcBorders>
            <w:shd w:val="clear" w:color="auto" w:fill="auto"/>
            <w:vAlign w:val="center"/>
          </w:tcPr>
          <w:p>
            <w:pPr>
              <w:widowControl/>
              <w:spacing w:line="270" w:lineRule="atLeas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计算机网络设备（服务器、路由器、调制解调器等）</w:t>
            </w:r>
          </w:p>
        </w:tc>
        <w:tc>
          <w:tcPr>
            <w:tcW w:w="1782" w:type="dxa"/>
            <w:tcBorders>
              <w:top w:val="nil"/>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8年</w:t>
            </w:r>
          </w:p>
        </w:tc>
      </w:tr>
      <w:tr>
        <w:tblPrEx>
          <w:tblLayout w:type="fixed"/>
          <w:tblCellMar>
            <w:top w:w="0" w:type="dxa"/>
            <w:left w:w="0" w:type="dxa"/>
            <w:bottom w:w="0" w:type="dxa"/>
            <w:right w:w="0" w:type="dxa"/>
          </w:tblCellMar>
        </w:tblPrEx>
        <w:trPr>
          <w:trHeight w:val="284"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6482" w:type="dxa"/>
            <w:tcBorders>
              <w:top w:val="nil"/>
              <w:left w:val="nil"/>
              <w:bottom w:val="single" w:color="auto" w:sz="4" w:space="0"/>
              <w:right w:val="single" w:color="auto" w:sz="4" w:space="0"/>
            </w:tcBorders>
            <w:shd w:val="clear" w:color="auto" w:fill="auto"/>
            <w:vAlign w:val="center"/>
          </w:tcPr>
          <w:p>
            <w:pPr>
              <w:widowControl/>
              <w:spacing w:line="270" w:lineRule="atLeas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台式电脑（包括网络计算机、终端）</w:t>
            </w:r>
          </w:p>
        </w:tc>
        <w:tc>
          <w:tcPr>
            <w:tcW w:w="1782" w:type="dxa"/>
            <w:tcBorders>
              <w:top w:val="nil"/>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6年</w:t>
            </w:r>
          </w:p>
        </w:tc>
      </w:tr>
      <w:tr>
        <w:tblPrEx>
          <w:tblLayout w:type="fixed"/>
          <w:tblCellMar>
            <w:top w:w="0" w:type="dxa"/>
            <w:left w:w="0" w:type="dxa"/>
            <w:bottom w:w="0" w:type="dxa"/>
            <w:right w:w="0" w:type="dxa"/>
          </w:tblCellMar>
        </w:tblPrEx>
        <w:trPr>
          <w:trHeight w:val="284"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6482" w:type="dxa"/>
            <w:tcBorders>
              <w:top w:val="nil"/>
              <w:left w:val="nil"/>
              <w:bottom w:val="single" w:color="auto" w:sz="4" w:space="0"/>
              <w:right w:val="single" w:color="auto" w:sz="4" w:space="0"/>
            </w:tcBorders>
            <w:shd w:val="clear" w:color="auto" w:fill="auto"/>
            <w:vAlign w:val="center"/>
          </w:tcPr>
          <w:p>
            <w:pPr>
              <w:widowControl/>
              <w:spacing w:line="270" w:lineRule="atLeas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平板电脑、掌上电脑、笔记本电脑</w:t>
            </w:r>
          </w:p>
        </w:tc>
        <w:tc>
          <w:tcPr>
            <w:tcW w:w="1782" w:type="dxa"/>
            <w:tcBorders>
              <w:top w:val="nil"/>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6年</w:t>
            </w:r>
          </w:p>
        </w:tc>
      </w:tr>
      <w:tr>
        <w:tblPrEx>
          <w:tblLayout w:type="fixed"/>
          <w:tblCellMar>
            <w:top w:w="0" w:type="dxa"/>
            <w:left w:w="0" w:type="dxa"/>
            <w:bottom w:w="0" w:type="dxa"/>
            <w:right w:w="0" w:type="dxa"/>
          </w:tblCellMar>
        </w:tblPrEx>
        <w:trPr>
          <w:trHeight w:val="284"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6482" w:type="dxa"/>
            <w:tcBorders>
              <w:top w:val="nil"/>
              <w:left w:val="nil"/>
              <w:bottom w:val="single" w:color="auto" w:sz="4" w:space="0"/>
              <w:right w:val="single" w:color="auto" w:sz="4" w:space="0"/>
            </w:tcBorders>
            <w:shd w:val="clear" w:color="auto" w:fill="auto"/>
            <w:vAlign w:val="center"/>
          </w:tcPr>
          <w:p>
            <w:pPr>
              <w:widowControl/>
              <w:spacing w:line="270" w:lineRule="atLeas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移动硬盘、不间断电源（UPS）</w:t>
            </w:r>
          </w:p>
        </w:tc>
        <w:tc>
          <w:tcPr>
            <w:tcW w:w="1782" w:type="dxa"/>
            <w:tcBorders>
              <w:top w:val="nil"/>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6年</w:t>
            </w:r>
          </w:p>
        </w:tc>
      </w:tr>
      <w:tr>
        <w:tblPrEx>
          <w:tblLayout w:type="fixed"/>
          <w:tblCellMar>
            <w:top w:w="0" w:type="dxa"/>
            <w:left w:w="0" w:type="dxa"/>
            <w:bottom w:w="0" w:type="dxa"/>
            <w:right w:w="0" w:type="dxa"/>
          </w:tblCellMar>
        </w:tblPrEx>
        <w:trPr>
          <w:trHeight w:val="284"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6482" w:type="dxa"/>
            <w:tcBorders>
              <w:top w:val="nil"/>
              <w:left w:val="nil"/>
              <w:bottom w:val="single" w:color="auto" w:sz="4" w:space="0"/>
              <w:right w:val="single" w:color="auto" w:sz="4" w:space="0"/>
            </w:tcBorders>
            <w:shd w:val="clear" w:color="auto" w:fill="auto"/>
            <w:vAlign w:val="center"/>
          </w:tcPr>
          <w:p>
            <w:pPr>
              <w:widowControl/>
              <w:spacing w:line="270" w:lineRule="atLeas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传真机、投影机、扫描仪</w:t>
            </w:r>
          </w:p>
        </w:tc>
        <w:tc>
          <w:tcPr>
            <w:tcW w:w="1782" w:type="dxa"/>
            <w:tcBorders>
              <w:top w:val="nil"/>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6年</w:t>
            </w:r>
          </w:p>
        </w:tc>
      </w:tr>
      <w:tr>
        <w:tblPrEx>
          <w:tblLayout w:type="fixed"/>
          <w:tblCellMar>
            <w:top w:w="0" w:type="dxa"/>
            <w:left w:w="0" w:type="dxa"/>
            <w:bottom w:w="0" w:type="dxa"/>
            <w:right w:w="0" w:type="dxa"/>
          </w:tblCellMar>
        </w:tblPrEx>
        <w:trPr>
          <w:trHeight w:val="284"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6482" w:type="dxa"/>
            <w:tcBorders>
              <w:top w:val="nil"/>
              <w:left w:val="nil"/>
              <w:bottom w:val="single" w:color="auto" w:sz="4" w:space="0"/>
              <w:right w:val="single" w:color="auto" w:sz="4" w:space="0"/>
            </w:tcBorders>
            <w:shd w:val="clear" w:color="auto" w:fill="auto"/>
            <w:vAlign w:val="center"/>
          </w:tcPr>
          <w:p>
            <w:pPr>
              <w:widowControl/>
              <w:spacing w:line="270" w:lineRule="atLeas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复印机、速印机、打印机、碎纸机</w:t>
            </w:r>
          </w:p>
        </w:tc>
        <w:tc>
          <w:tcPr>
            <w:tcW w:w="1782" w:type="dxa"/>
            <w:tcBorders>
              <w:top w:val="nil"/>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6年</w:t>
            </w:r>
          </w:p>
        </w:tc>
      </w:tr>
      <w:tr>
        <w:tblPrEx>
          <w:tblLayout w:type="fixed"/>
          <w:tblCellMar>
            <w:top w:w="0" w:type="dxa"/>
            <w:left w:w="0" w:type="dxa"/>
            <w:bottom w:w="0" w:type="dxa"/>
            <w:right w:w="0" w:type="dxa"/>
          </w:tblCellMar>
        </w:tblPrEx>
        <w:trPr>
          <w:trHeight w:val="284"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三</w:t>
            </w:r>
          </w:p>
        </w:tc>
        <w:tc>
          <w:tcPr>
            <w:tcW w:w="6482" w:type="dxa"/>
            <w:tcBorders>
              <w:top w:val="nil"/>
              <w:left w:val="nil"/>
              <w:bottom w:val="single" w:color="auto" w:sz="4" w:space="0"/>
              <w:right w:val="single" w:color="auto" w:sz="4" w:space="0"/>
            </w:tcBorders>
            <w:shd w:val="clear" w:color="auto" w:fill="auto"/>
            <w:vAlign w:val="center"/>
          </w:tcPr>
          <w:p>
            <w:pPr>
              <w:widowControl/>
              <w:spacing w:line="270" w:lineRule="atLeas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电器设备</w:t>
            </w:r>
          </w:p>
        </w:tc>
        <w:tc>
          <w:tcPr>
            <w:tcW w:w="1782" w:type="dxa"/>
            <w:tcBorders>
              <w:top w:val="nil"/>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p>
        </w:tc>
      </w:tr>
      <w:tr>
        <w:tblPrEx>
          <w:tblLayout w:type="fixed"/>
          <w:tblCellMar>
            <w:top w:w="0" w:type="dxa"/>
            <w:left w:w="0" w:type="dxa"/>
            <w:bottom w:w="0" w:type="dxa"/>
            <w:right w:w="0" w:type="dxa"/>
          </w:tblCellMar>
        </w:tblPrEx>
        <w:trPr>
          <w:trHeight w:val="284"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6482" w:type="dxa"/>
            <w:tcBorders>
              <w:top w:val="nil"/>
              <w:left w:val="nil"/>
              <w:bottom w:val="single" w:color="auto" w:sz="4" w:space="0"/>
              <w:right w:val="single" w:color="auto" w:sz="4" w:space="0"/>
            </w:tcBorders>
            <w:shd w:val="clear" w:color="auto" w:fill="auto"/>
            <w:vAlign w:val="center"/>
          </w:tcPr>
          <w:p>
            <w:pPr>
              <w:widowControl/>
              <w:spacing w:line="270" w:lineRule="atLeas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电视机</w:t>
            </w:r>
          </w:p>
        </w:tc>
        <w:tc>
          <w:tcPr>
            <w:tcW w:w="1782" w:type="dxa"/>
            <w:tcBorders>
              <w:top w:val="nil"/>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8年</w:t>
            </w:r>
          </w:p>
        </w:tc>
      </w:tr>
      <w:tr>
        <w:tblPrEx>
          <w:tblLayout w:type="fixed"/>
          <w:tblCellMar>
            <w:top w:w="0" w:type="dxa"/>
            <w:left w:w="0" w:type="dxa"/>
            <w:bottom w:w="0" w:type="dxa"/>
            <w:right w:w="0" w:type="dxa"/>
          </w:tblCellMar>
        </w:tblPrEx>
        <w:trPr>
          <w:trHeight w:val="284"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6482" w:type="dxa"/>
            <w:tcBorders>
              <w:top w:val="nil"/>
              <w:left w:val="nil"/>
              <w:bottom w:val="single" w:color="auto" w:sz="4" w:space="0"/>
              <w:right w:val="single" w:color="auto" w:sz="4" w:space="0"/>
            </w:tcBorders>
            <w:shd w:val="clear" w:color="auto" w:fill="auto"/>
            <w:vAlign w:val="center"/>
          </w:tcPr>
          <w:p>
            <w:pPr>
              <w:widowControl/>
              <w:spacing w:line="270" w:lineRule="atLeas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电冰箱</w:t>
            </w:r>
          </w:p>
        </w:tc>
        <w:tc>
          <w:tcPr>
            <w:tcW w:w="1782" w:type="dxa"/>
            <w:tcBorders>
              <w:top w:val="nil"/>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6年</w:t>
            </w:r>
          </w:p>
        </w:tc>
      </w:tr>
      <w:tr>
        <w:tblPrEx>
          <w:tblLayout w:type="fixed"/>
          <w:tblCellMar>
            <w:top w:w="0" w:type="dxa"/>
            <w:left w:w="0" w:type="dxa"/>
            <w:bottom w:w="0" w:type="dxa"/>
            <w:right w:w="0" w:type="dxa"/>
          </w:tblCellMar>
        </w:tblPrEx>
        <w:trPr>
          <w:trHeight w:val="284"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6482" w:type="dxa"/>
            <w:tcBorders>
              <w:top w:val="nil"/>
              <w:left w:val="nil"/>
              <w:bottom w:val="single" w:color="auto" w:sz="4" w:space="0"/>
              <w:right w:val="single" w:color="auto" w:sz="4" w:space="0"/>
            </w:tcBorders>
            <w:shd w:val="clear" w:color="auto" w:fill="auto"/>
            <w:vAlign w:val="center"/>
          </w:tcPr>
          <w:p>
            <w:pPr>
              <w:widowControl/>
              <w:spacing w:line="270" w:lineRule="atLeas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洗衣机</w:t>
            </w:r>
          </w:p>
        </w:tc>
        <w:tc>
          <w:tcPr>
            <w:tcW w:w="1782" w:type="dxa"/>
            <w:tcBorders>
              <w:top w:val="nil"/>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8年</w:t>
            </w:r>
          </w:p>
        </w:tc>
      </w:tr>
      <w:tr>
        <w:tblPrEx>
          <w:tblLayout w:type="fixed"/>
          <w:tblCellMar>
            <w:top w:w="0" w:type="dxa"/>
            <w:left w:w="0" w:type="dxa"/>
            <w:bottom w:w="0" w:type="dxa"/>
            <w:right w:w="0" w:type="dxa"/>
          </w:tblCellMar>
        </w:tblPrEx>
        <w:trPr>
          <w:trHeight w:val="284"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6482" w:type="dxa"/>
            <w:tcBorders>
              <w:top w:val="nil"/>
              <w:left w:val="nil"/>
              <w:bottom w:val="single" w:color="auto" w:sz="4" w:space="0"/>
              <w:right w:val="single" w:color="auto" w:sz="4" w:space="0"/>
            </w:tcBorders>
            <w:shd w:val="clear" w:color="auto" w:fill="auto"/>
            <w:vAlign w:val="center"/>
          </w:tcPr>
          <w:p>
            <w:pPr>
              <w:widowControl/>
              <w:spacing w:line="270" w:lineRule="atLeas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摄像器材</w:t>
            </w:r>
          </w:p>
        </w:tc>
        <w:tc>
          <w:tcPr>
            <w:tcW w:w="1782" w:type="dxa"/>
            <w:tcBorders>
              <w:top w:val="nil"/>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12年</w:t>
            </w:r>
          </w:p>
        </w:tc>
      </w:tr>
      <w:tr>
        <w:tblPrEx>
          <w:tblLayout w:type="fixed"/>
          <w:tblCellMar>
            <w:top w:w="0" w:type="dxa"/>
            <w:left w:w="0" w:type="dxa"/>
            <w:bottom w:w="0" w:type="dxa"/>
            <w:right w:w="0" w:type="dxa"/>
          </w:tblCellMar>
        </w:tblPrEx>
        <w:trPr>
          <w:trHeight w:val="284"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6482" w:type="dxa"/>
            <w:tcBorders>
              <w:top w:val="nil"/>
              <w:left w:val="nil"/>
              <w:bottom w:val="single" w:color="auto" w:sz="4" w:space="0"/>
              <w:right w:val="single" w:color="auto" w:sz="4" w:space="0"/>
            </w:tcBorders>
            <w:shd w:val="clear" w:color="auto" w:fill="auto"/>
            <w:vAlign w:val="center"/>
          </w:tcPr>
          <w:p>
            <w:pPr>
              <w:widowControl/>
              <w:spacing w:line="270" w:lineRule="atLeas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摄影器材、照相机</w:t>
            </w:r>
          </w:p>
        </w:tc>
        <w:tc>
          <w:tcPr>
            <w:tcW w:w="1782" w:type="dxa"/>
            <w:tcBorders>
              <w:top w:val="nil"/>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10年</w:t>
            </w:r>
          </w:p>
        </w:tc>
      </w:tr>
      <w:tr>
        <w:tblPrEx>
          <w:tblLayout w:type="fixed"/>
          <w:tblCellMar>
            <w:top w:w="0" w:type="dxa"/>
            <w:left w:w="0" w:type="dxa"/>
            <w:bottom w:w="0" w:type="dxa"/>
            <w:right w:w="0" w:type="dxa"/>
          </w:tblCellMar>
        </w:tblPrEx>
        <w:trPr>
          <w:trHeight w:val="284"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6482" w:type="dxa"/>
            <w:tcBorders>
              <w:top w:val="nil"/>
              <w:left w:val="nil"/>
              <w:bottom w:val="single" w:color="auto" w:sz="4" w:space="0"/>
              <w:right w:val="single" w:color="auto" w:sz="4" w:space="0"/>
            </w:tcBorders>
            <w:shd w:val="clear" w:color="auto" w:fill="auto"/>
            <w:vAlign w:val="center"/>
          </w:tcPr>
          <w:p>
            <w:pPr>
              <w:widowControl/>
              <w:spacing w:line="270" w:lineRule="atLeas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空气调节器、除湿设备</w:t>
            </w:r>
          </w:p>
        </w:tc>
        <w:tc>
          <w:tcPr>
            <w:tcW w:w="1782" w:type="dxa"/>
            <w:tcBorders>
              <w:top w:val="nil"/>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12年</w:t>
            </w:r>
          </w:p>
        </w:tc>
      </w:tr>
      <w:tr>
        <w:tblPrEx>
          <w:tblLayout w:type="fixed"/>
          <w:tblCellMar>
            <w:top w:w="0" w:type="dxa"/>
            <w:left w:w="0" w:type="dxa"/>
            <w:bottom w:w="0" w:type="dxa"/>
            <w:right w:w="0" w:type="dxa"/>
          </w:tblCellMar>
        </w:tblPrEx>
        <w:trPr>
          <w:trHeight w:val="284"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6482" w:type="dxa"/>
            <w:tcBorders>
              <w:top w:val="nil"/>
              <w:left w:val="nil"/>
              <w:bottom w:val="single" w:color="auto" w:sz="4" w:space="0"/>
              <w:right w:val="single" w:color="auto" w:sz="4" w:space="0"/>
            </w:tcBorders>
            <w:shd w:val="clear" w:color="auto" w:fill="auto"/>
            <w:vAlign w:val="center"/>
          </w:tcPr>
          <w:p>
            <w:pPr>
              <w:widowControl/>
              <w:spacing w:line="270" w:lineRule="atLeas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中央空调设备</w:t>
            </w:r>
          </w:p>
        </w:tc>
        <w:tc>
          <w:tcPr>
            <w:tcW w:w="1782" w:type="dxa"/>
            <w:tcBorders>
              <w:top w:val="nil"/>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15年</w:t>
            </w:r>
          </w:p>
        </w:tc>
      </w:tr>
      <w:tr>
        <w:tblPrEx>
          <w:tblLayout w:type="fixed"/>
          <w:tblCellMar>
            <w:top w:w="0" w:type="dxa"/>
            <w:left w:w="0" w:type="dxa"/>
            <w:bottom w:w="0" w:type="dxa"/>
            <w:right w:w="0" w:type="dxa"/>
          </w:tblCellMar>
        </w:tblPrEx>
        <w:trPr>
          <w:trHeight w:val="284"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四</w:t>
            </w:r>
          </w:p>
        </w:tc>
        <w:tc>
          <w:tcPr>
            <w:tcW w:w="6482" w:type="dxa"/>
            <w:tcBorders>
              <w:top w:val="nil"/>
              <w:left w:val="nil"/>
              <w:bottom w:val="single" w:color="auto" w:sz="4" w:space="0"/>
              <w:right w:val="single" w:color="auto" w:sz="4" w:space="0"/>
            </w:tcBorders>
            <w:shd w:val="clear" w:color="auto" w:fill="auto"/>
            <w:vAlign w:val="center"/>
          </w:tcPr>
          <w:p>
            <w:pPr>
              <w:pStyle w:val="4"/>
              <w:widowControl/>
              <w:spacing w:beforeAutospacing="1" w:afterAutospacing="1"/>
              <w:rPr>
                <w:rFonts w:eastAsia="仿宋_GB2312"/>
                <w:kern w:val="0"/>
                <w:szCs w:val="21"/>
              </w:rPr>
            </w:pPr>
            <w:r>
              <w:rPr>
                <w:rFonts w:hint="eastAsia" w:eastAsia="仿宋_GB2312"/>
                <w:kern w:val="0"/>
                <w:sz w:val="21"/>
                <w:szCs w:val="21"/>
              </w:rPr>
              <w:t>家具，包括办公家具、宿舍家具、其他家具</w:t>
            </w:r>
          </w:p>
        </w:tc>
        <w:tc>
          <w:tcPr>
            <w:tcW w:w="1782" w:type="dxa"/>
            <w:tcBorders>
              <w:top w:val="nil"/>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10年</w:t>
            </w:r>
          </w:p>
        </w:tc>
      </w:tr>
      <w:tr>
        <w:tblPrEx>
          <w:tblLayout w:type="fixed"/>
          <w:tblCellMar>
            <w:top w:w="0" w:type="dxa"/>
            <w:left w:w="0" w:type="dxa"/>
            <w:bottom w:w="0" w:type="dxa"/>
            <w:right w:w="0" w:type="dxa"/>
          </w:tblCellMar>
        </w:tblPrEx>
        <w:trPr>
          <w:trHeight w:val="284"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五</w:t>
            </w:r>
          </w:p>
        </w:tc>
        <w:tc>
          <w:tcPr>
            <w:tcW w:w="6482" w:type="dxa"/>
            <w:tcBorders>
              <w:top w:val="nil"/>
              <w:left w:val="nil"/>
              <w:bottom w:val="single" w:color="auto" w:sz="4" w:space="0"/>
              <w:right w:val="single" w:color="auto" w:sz="4" w:space="0"/>
            </w:tcBorders>
            <w:shd w:val="clear" w:color="auto" w:fill="auto"/>
            <w:vAlign w:val="center"/>
          </w:tcPr>
          <w:p>
            <w:pPr>
              <w:widowControl/>
              <w:spacing w:line="270" w:lineRule="atLeas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专用设备</w:t>
            </w:r>
          </w:p>
        </w:tc>
        <w:tc>
          <w:tcPr>
            <w:tcW w:w="1782" w:type="dxa"/>
            <w:tcBorders>
              <w:top w:val="nil"/>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p>
        </w:tc>
      </w:tr>
      <w:tr>
        <w:tblPrEx>
          <w:tblLayout w:type="fixed"/>
          <w:tblCellMar>
            <w:top w:w="0" w:type="dxa"/>
            <w:left w:w="0" w:type="dxa"/>
            <w:bottom w:w="0" w:type="dxa"/>
            <w:right w:w="0" w:type="dxa"/>
          </w:tblCellMar>
        </w:tblPrEx>
        <w:trPr>
          <w:trHeight w:val="284"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6482" w:type="dxa"/>
            <w:tcBorders>
              <w:top w:val="nil"/>
              <w:left w:val="nil"/>
              <w:bottom w:val="single" w:color="auto" w:sz="4" w:space="0"/>
              <w:right w:val="single" w:color="auto" w:sz="4" w:space="0"/>
            </w:tcBorders>
            <w:shd w:val="clear" w:color="auto" w:fill="auto"/>
            <w:vAlign w:val="center"/>
          </w:tcPr>
          <w:p>
            <w:pPr>
              <w:widowControl/>
              <w:spacing w:line="270" w:lineRule="atLeas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消防设备</w:t>
            </w:r>
          </w:p>
        </w:tc>
        <w:tc>
          <w:tcPr>
            <w:tcW w:w="1782" w:type="dxa"/>
            <w:tcBorders>
              <w:top w:val="nil"/>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12年</w:t>
            </w:r>
          </w:p>
        </w:tc>
      </w:tr>
      <w:tr>
        <w:tblPrEx>
          <w:tblLayout w:type="fixed"/>
          <w:tblCellMar>
            <w:top w:w="0" w:type="dxa"/>
            <w:left w:w="0" w:type="dxa"/>
            <w:bottom w:w="0" w:type="dxa"/>
            <w:right w:w="0" w:type="dxa"/>
          </w:tblCellMar>
        </w:tblPrEx>
        <w:trPr>
          <w:trHeight w:val="284"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6482" w:type="dxa"/>
            <w:tcBorders>
              <w:top w:val="nil"/>
              <w:left w:val="nil"/>
              <w:bottom w:val="single" w:color="auto" w:sz="4" w:space="0"/>
              <w:right w:val="single" w:color="auto" w:sz="4" w:space="0"/>
            </w:tcBorders>
            <w:shd w:val="clear" w:color="auto" w:fill="auto"/>
            <w:vAlign w:val="center"/>
          </w:tcPr>
          <w:p>
            <w:pPr>
              <w:widowControl/>
              <w:spacing w:line="270" w:lineRule="atLeas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厨房设备</w:t>
            </w:r>
          </w:p>
        </w:tc>
        <w:tc>
          <w:tcPr>
            <w:tcW w:w="1782" w:type="dxa"/>
            <w:tcBorders>
              <w:top w:val="nil"/>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8年</w:t>
            </w:r>
          </w:p>
        </w:tc>
      </w:tr>
      <w:tr>
        <w:tblPrEx>
          <w:tblLayout w:type="fixed"/>
          <w:tblCellMar>
            <w:top w:w="0" w:type="dxa"/>
            <w:left w:w="0" w:type="dxa"/>
            <w:bottom w:w="0" w:type="dxa"/>
            <w:right w:w="0" w:type="dxa"/>
          </w:tblCellMar>
        </w:tblPrEx>
        <w:trPr>
          <w:trHeight w:val="284"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6482" w:type="dxa"/>
            <w:tcBorders>
              <w:top w:val="nil"/>
              <w:left w:val="nil"/>
              <w:bottom w:val="single" w:color="auto" w:sz="4" w:space="0"/>
              <w:right w:val="single" w:color="auto" w:sz="4" w:space="0"/>
            </w:tcBorders>
            <w:shd w:val="clear" w:color="auto" w:fill="auto"/>
            <w:vAlign w:val="center"/>
          </w:tcPr>
          <w:p>
            <w:pPr>
              <w:widowControl/>
              <w:spacing w:line="270" w:lineRule="atLeas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监控系统（包括监控设备设施、安全防范系统）</w:t>
            </w:r>
          </w:p>
        </w:tc>
        <w:tc>
          <w:tcPr>
            <w:tcW w:w="1782" w:type="dxa"/>
            <w:tcBorders>
              <w:top w:val="nil"/>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8年</w:t>
            </w:r>
          </w:p>
        </w:tc>
      </w:tr>
      <w:tr>
        <w:tblPrEx>
          <w:tblLayout w:type="fixed"/>
          <w:tblCellMar>
            <w:top w:w="0" w:type="dxa"/>
            <w:left w:w="0" w:type="dxa"/>
            <w:bottom w:w="0" w:type="dxa"/>
            <w:right w:w="0" w:type="dxa"/>
          </w:tblCellMar>
        </w:tblPrEx>
        <w:trPr>
          <w:trHeight w:val="284"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6482" w:type="dxa"/>
            <w:tcBorders>
              <w:top w:val="nil"/>
              <w:left w:val="nil"/>
              <w:bottom w:val="single" w:color="auto" w:sz="4" w:space="0"/>
              <w:right w:val="single" w:color="auto" w:sz="4" w:space="0"/>
            </w:tcBorders>
            <w:shd w:val="clear" w:color="auto" w:fill="auto"/>
            <w:vAlign w:val="center"/>
          </w:tcPr>
          <w:p>
            <w:pPr>
              <w:widowControl/>
              <w:spacing w:line="270" w:lineRule="atLeas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电子设备</w:t>
            </w:r>
          </w:p>
        </w:tc>
        <w:tc>
          <w:tcPr>
            <w:tcW w:w="1782" w:type="dxa"/>
            <w:tcBorders>
              <w:top w:val="nil"/>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6年</w:t>
            </w:r>
          </w:p>
        </w:tc>
      </w:tr>
      <w:tr>
        <w:tblPrEx>
          <w:tblLayout w:type="fixed"/>
          <w:tblCellMar>
            <w:top w:w="0" w:type="dxa"/>
            <w:left w:w="0" w:type="dxa"/>
            <w:bottom w:w="0" w:type="dxa"/>
            <w:right w:w="0" w:type="dxa"/>
          </w:tblCellMar>
        </w:tblPrEx>
        <w:trPr>
          <w:trHeight w:val="284"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6482" w:type="dxa"/>
            <w:tcBorders>
              <w:top w:val="nil"/>
              <w:left w:val="nil"/>
              <w:bottom w:val="single" w:color="auto" w:sz="4" w:space="0"/>
              <w:right w:val="single" w:color="auto" w:sz="4" w:space="0"/>
            </w:tcBorders>
            <w:shd w:val="clear" w:color="auto" w:fill="auto"/>
            <w:vAlign w:val="center"/>
          </w:tcPr>
          <w:p>
            <w:pPr>
              <w:widowControl/>
              <w:spacing w:line="270" w:lineRule="atLeas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广播电视、影像设备（摄录设备、传送设备）</w:t>
            </w:r>
          </w:p>
        </w:tc>
        <w:tc>
          <w:tcPr>
            <w:tcW w:w="1782" w:type="dxa"/>
            <w:tcBorders>
              <w:top w:val="nil"/>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6年</w:t>
            </w:r>
          </w:p>
        </w:tc>
      </w:tr>
      <w:tr>
        <w:tblPrEx>
          <w:tblLayout w:type="fixed"/>
          <w:tblCellMar>
            <w:top w:w="0" w:type="dxa"/>
            <w:left w:w="0" w:type="dxa"/>
            <w:bottom w:w="0" w:type="dxa"/>
            <w:right w:w="0" w:type="dxa"/>
          </w:tblCellMar>
        </w:tblPrEx>
        <w:trPr>
          <w:trHeight w:val="284"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6482" w:type="dxa"/>
            <w:tcBorders>
              <w:top w:val="nil"/>
              <w:left w:val="nil"/>
              <w:bottom w:val="single" w:color="auto" w:sz="4" w:space="0"/>
              <w:right w:val="single" w:color="auto" w:sz="4" w:space="0"/>
            </w:tcBorders>
            <w:shd w:val="clear" w:color="auto" w:fill="auto"/>
            <w:vAlign w:val="center"/>
          </w:tcPr>
          <w:p>
            <w:pPr>
              <w:widowControl/>
              <w:spacing w:line="270" w:lineRule="atLeas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音响设备</w:t>
            </w:r>
          </w:p>
        </w:tc>
        <w:tc>
          <w:tcPr>
            <w:tcW w:w="1782" w:type="dxa"/>
            <w:tcBorders>
              <w:top w:val="nil"/>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12年</w:t>
            </w:r>
          </w:p>
        </w:tc>
      </w:tr>
      <w:tr>
        <w:tblPrEx>
          <w:tblLayout w:type="fixed"/>
          <w:tblCellMar>
            <w:top w:w="0" w:type="dxa"/>
            <w:left w:w="0" w:type="dxa"/>
            <w:bottom w:w="0" w:type="dxa"/>
            <w:right w:w="0" w:type="dxa"/>
          </w:tblCellMar>
        </w:tblPrEx>
        <w:trPr>
          <w:trHeight w:val="284"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6482" w:type="dxa"/>
            <w:tcBorders>
              <w:top w:val="nil"/>
              <w:left w:val="nil"/>
              <w:bottom w:val="single" w:color="auto" w:sz="4" w:space="0"/>
              <w:right w:val="single" w:color="auto" w:sz="4" w:space="0"/>
            </w:tcBorders>
            <w:shd w:val="clear" w:color="auto" w:fill="auto"/>
            <w:vAlign w:val="center"/>
          </w:tcPr>
          <w:p>
            <w:pPr>
              <w:widowControl/>
              <w:spacing w:line="270" w:lineRule="atLeas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健身房设备</w:t>
            </w:r>
          </w:p>
        </w:tc>
        <w:tc>
          <w:tcPr>
            <w:tcW w:w="1782" w:type="dxa"/>
            <w:tcBorders>
              <w:top w:val="nil"/>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8年</w:t>
            </w:r>
          </w:p>
        </w:tc>
      </w:tr>
      <w:tr>
        <w:tblPrEx>
          <w:tblLayout w:type="fixed"/>
          <w:tblCellMar>
            <w:top w:w="0" w:type="dxa"/>
            <w:left w:w="0" w:type="dxa"/>
            <w:bottom w:w="0" w:type="dxa"/>
            <w:right w:w="0" w:type="dxa"/>
          </w:tblCellMar>
        </w:tblPrEx>
        <w:trPr>
          <w:trHeight w:val="284"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6482" w:type="dxa"/>
            <w:tcBorders>
              <w:top w:val="nil"/>
              <w:left w:val="nil"/>
              <w:bottom w:val="single" w:color="auto" w:sz="4" w:space="0"/>
              <w:right w:val="single" w:color="auto" w:sz="4" w:space="0"/>
            </w:tcBorders>
            <w:shd w:val="clear" w:color="auto" w:fill="auto"/>
            <w:vAlign w:val="center"/>
          </w:tcPr>
          <w:p>
            <w:pPr>
              <w:widowControl/>
              <w:spacing w:line="270" w:lineRule="atLeas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通讯设备</w:t>
            </w:r>
          </w:p>
        </w:tc>
        <w:tc>
          <w:tcPr>
            <w:tcW w:w="1782" w:type="dxa"/>
            <w:tcBorders>
              <w:top w:val="nil"/>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8年</w:t>
            </w:r>
          </w:p>
        </w:tc>
      </w:tr>
      <w:tr>
        <w:tblPrEx>
          <w:tblLayout w:type="fixed"/>
          <w:tblCellMar>
            <w:top w:w="0" w:type="dxa"/>
            <w:left w:w="0" w:type="dxa"/>
            <w:bottom w:w="0" w:type="dxa"/>
            <w:right w:w="0" w:type="dxa"/>
          </w:tblCellMar>
        </w:tblPrEx>
        <w:trPr>
          <w:trHeight w:val="284"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六</w:t>
            </w:r>
          </w:p>
        </w:tc>
        <w:tc>
          <w:tcPr>
            <w:tcW w:w="6482" w:type="dxa"/>
            <w:tcBorders>
              <w:top w:val="nil"/>
              <w:left w:val="nil"/>
              <w:bottom w:val="single" w:color="auto" w:sz="4" w:space="0"/>
              <w:right w:val="single" w:color="auto" w:sz="4" w:space="0"/>
            </w:tcBorders>
            <w:shd w:val="clear" w:color="auto" w:fill="auto"/>
            <w:vAlign w:val="center"/>
          </w:tcPr>
          <w:p>
            <w:pPr>
              <w:widowControl/>
              <w:spacing w:line="270" w:lineRule="atLeas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自动化控制及仪器仪表</w:t>
            </w:r>
          </w:p>
        </w:tc>
        <w:tc>
          <w:tcPr>
            <w:tcW w:w="1782" w:type="dxa"/>
            <w:tcBorders>
              <w:top w:val="nil"/>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10年</w:t>
            </w:r>
          </w:p>
        </w:tc>
      </w:tr>
      <w:tr>
        <w:tblPrEx>
          <w:tblLayout w:type="fixed"/>
          <w:tblCellMar>
            <w:top w:w="0" w:type="dxa"/>
            <w:left w:w="0" w:type="dxa"/>
            <w:bottom w:w="0" w:type="dxa"/>
            <w:right w:w="0" w:type="dxa"/>
          </w:tblCellMar>
        </w:tblPrEx>
        <w:trPr>
          <w:trHeight w:val="284"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七</w:t>
            </w:r>
          </w:p>
        </w:tc>
        <w:tc>
          <w:tcPr>
            <w:tcW w:w="6482" w:type="dxa"/>
            <w:tcBorders>
              <w:top w:val="nil"/>
              <w:left w:val="nil"/>
              <w:bottom w:val="single" w:color="auto" w:sz="4" w:space="0"/>
              <w:right w:val="single" w:color="auto" w:sz="4" w:space="0"/>
            </w:tcBorders>
            <w:shd w:val="clear" w:color="auto" w:fill="auto"/>
            <w:vAlign w:val="center"/>
          </w:tcPr>
          <w:p>
            <w:pPr>
              <w:widowControl/>
              <w:spacing w:line="270" w:lineRule="atLeas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通用测试仪器设备</w:t>
            </w:r>
          </w:p>
        </w:tc>
        <w:tc>
          <w:tcPr>
            <w:tcW w:w="1782" w:type="dxa"/>
            <w:tcBorders>
              <w:top w:val="nil"/>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10年</w:t>
            </w:r>
          </w:p>
        </w:tc>
      </w:tr>
      <w:tr>
        <w:tblPrEx>
          <w:tblLayout w:type="fixed"/>
          <w:tblCellMar>
            <w:top w:w="0" w:type="dxa"/>
            <w:left w:w="0" w:type="dxa"/>
            <w:bottom w:w="0" w:type="dxa"/>
            <w:right w:w="0" w:type="dxa"/>
          </w:tblCellMar>
        </w:tblPrEx>
        <w:trPr>
          <w:trHeight w:val="284"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八</w:t>
            </w:r>
          </w:p>
        </w:tc>
        <w:tc>
          <w:tcPr>
            <w:tcW w:w="6482" w:type="dxa"/>
            <w:tcBorders>
              <w:top w:val="nil"/>
              <w:left w:val="nil"/>
              <w:bottom w:val="single" w:color="auto" w:sz="4" w:space="0"/>
              <w:right w:val="single" w:color="auto" w:sz="4" w:space="0"/>
            </w:tcBorders>
            <w:shd w:val="clear" w:color="auto" w:fill="auto"/>
            <w:vAlign w:val="center"/>
          </w:tcPr>
          <w:p>
            <w:pPr>
              <w:widowControl/>
              <w:spacing w:line="270" w:lineRule="atLeas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机械设备</w:t>
            </w:r>
          </w:p>
        </w:tc>
        <w:tc>
          <w:tcPr>
            <w:tcW w:w="1782" w:type="dxa"/>
            <w:tcBorders>
              <w:top w:val="nil"/>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12年</w:t>
            </w:r>
          </w:p>
        </w:tc>
      </w:tr>
      <w:tr>
        <w:tblPrEx>
          <w:tblLayout w:type="fixed"/>
          <w:tblCellMar>
            <w:top w:w="0" w:type="dxa"/>
            <w:left w:w="0" w:type="dxa"/>
            <w:bottom w:w="0" w:type="dxa"/>
            <w:right w:w="0" w:type="dxa"/>
          </w:tblCellMar>
        </w:tblPrEx>
        <w:trPr>
          <w:trHeight w:val="284"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九</w:t>
            </w:r>
          </w:p>
        </w:tc>
        <w:tc>
          <w:tcPr>
            <w:tcW w:w="6482" w:type="dxa"/>
            <w:tcBorders>
              <w:top w:val="nil"/>
              <w:left w:val="nil"/>
              <w:bottom w:val="single" w:color="auto" w:sz="4" w:space="0"/>
              <w:right w:val="single" w:color="auto" w:sz="4" w:space="0"/>
            </w:tcBorders>
            <w:shd w:val="clear" w:color="auto" w:fill="auto"/>
            <w:vAlign w:val="center"/>
          </w:tcPr>
          <w:p>
            <w:pPr>
              <w:widowControl/>
              <w:spacing w:line="270" w:lineRule="atLeas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动力设备</w:t>
            </w:r>
          </w:p>
        </w:tc>
        <w:tc>
          <w:tcPr>
            <w:tcW w:w="1782" w:type="dxa"/>
            <w:tcBorders>
              <w:top w:val="nil"/>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15年</w:t>
            </w:r>
          </w:p>
        </w:tc>
      </w:tr>
      <w:tr>
        <w:tblPrEx>
          <w:tblLayout w:type="fixed"/>
          <w:tblCellMar>
            <w:top w:w="0" w:type="dxa"/>
            <w:left w:w="0" w:type="dxa"/>
            <w:bottom w:w="0" w:type="dxa"/>
            <w:right w:w="0" w:type="dxa"/>
          </w:tblCellMar>
        </w:tblPrEx>
        <w:trPr>
          <w:trHeight w:val="284"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十</w:t>
            </w:r>
          </w:p>
        </w:tc>
        <w:tc>
          <w:tcPr>
            <w:tcW w:w="6482" w:type="dxa"/>
            <w:tcBorders>
              <w:top w:val="nil"/>
              <w:left w:val="nil"/>
              <w:bottom w:val="single" w:color="auto" w:sz="4" w:space="0"/>
              <w:right w:val="single" w:color="auto" w:sz="4" w:space="0"/>
            </w:tcBorders>
            <w:shd w:val="clear" w:color="auto" w:fill="auto"/>
            <w:vAlign w:val="center"/>
          </w:tcPr>
          <w:p>
            <w:pPr>
              <w:widowControl/>
              <w:spacing w:line="270" w:lineRule="atLeas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传导设备</w:t>
            </w:r>
          </w:p>
        </w:tc>
        <w:tc>
          <w:tcPr>
            <w:tcW w:w="1782" w:type="dxa"/>
            <w:tcBorders>
              <w:top w:val="nil"/>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22年</w:t>
            </w:r>
          </w:p>
        </w:tc>
      </w:tr>
      <w:tr>
        <w:tblPrEx>
          <w:tblLayout w:type="fixed"/>
          <w:tblCellMar>
            <w:top w:w="0" w:type="dxa"/>
            <w:left w:w="0" w:type="dxa"/>
            <w:bottom w:w="0" w:type="dxa"/>
            <w:right w:w="0" w:type="dxa"/>
          </w:tblCellMar>
        </w:tblPrEx>
        <w:trPr>
          <w:trHeight w:val="284" w:hRule="atLeast"/>
        </w:trPr>
        <w:tc>
          <w:tcPr>
            <w:tcW w:w="818" w:type="dxa"/>
            <w:tcBorders>
              <w:top w:val="nil"/>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十一</w:t>
            </w:r>
          </w:p>
        </w:tc>
        <w:tc>
          <w:tcPr>
            <w:tcW w:w="6482" w:type="dxa"/>
            <w:tcBorders>
              <w:top w:val="nil"/>
              <w:left w:val="nil"/>
              <w:bottom w:val="single" w:color="auto" w:sz="4" w:space="0"/>
              <w:right w:val="single" w:color="auto" w:sz="4" w:space="0"/>
            </w:tcBorders>
            <w:shd w:val="clear" w:color="auto" w:fill="auto"/>
            <w:vAlign w:val="center"/>
          </w:tcPr>
          <w:p>
            <w:pPr>
              <w:widowControl/>
              <w:spacing w:line="270" w:lineRule="atLeas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闭路电视播放设备</w:t>
            </w:r>
          </w:p>
        </w:tc>
        <w:tc>
          <w:tcPr>
            <w:tcW w:w="1782" w:type="dxa"/>
            <w:tcBorders>
              <w:top w:val="nil"/>
              <w:left w:val="nil"/>
              <w:bottom w:val="single" w:color="auto" w:sz="4" w:space="0"/>
              <w:right w:val="single" w:color="auto" w:sz="4" w:space="0"/>
            </w:tcBorders>
            <w:shd w:val="clear" w:color="auto" w:fill="auto"/>
            <w:vAlign w:val="center"/>
          </w:tcPr>
          <w:p>
            <w:pPr>
              <w:widowControl/>
              <w:spacing w:line="270" w:lineRule="atLeas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10年</w:t>
            </w:r>
          </w:p>
        </w:tc>
      </w:tr>
    </w:tbl>
    <w:p>
      <w:pPr>
        <w:spacing w:line="360" w:lineRule="exact"/>
        <w:jc w:val="center"/>
        <w:rPr>
          <w:rFonts w:ascii="方正黑体简体" w:eastAsia="方正黑体简体"/>
          <w:sz w:val="28"/>
          <w:szCs w:val="28"/>
        </w:rPr>
      </w:pPr>
      <w:r>
        <w:rPr>
          <w:rFonts w:hint="eastAsia" w:ascii="方正小标宋简体" w:hAnsi="华文中宋" w:eastAsia="方正小标宋简体" w:cs="Times New Roman"/>
          <w:kern w:val="0"/>
          <w:sz w:val="32"/>
          <w:szCs w:val="32"/>
        </w:rPr>
        <w:t>上海财经大学浙江学院常用固定资产使用年限表</w:t>
      </w:r>
    </w:p>
    <w:p>
      <w:r>
        <w:t>备注：参考</w:t>
      </w:r>
      <w:r>
        <w:rPr>
          <w:rFonts w:hint="eastAsia"/>
        </w:rPr>
        <w:t>浙江省</w:t>
      </w:r>
      <w:r>
        <w:t>有关规定。</w:t>
      </w:r>
    </w:p>
    <w:p>
      <w:pPr>
        <w:spacing w:line="540" w:lineRule="exact"/>
        <w:jc w:val="center"/>
        <w:rPr>
          <w:rFonts w:ascii="方正小标宋简体" w:hAnsi="Times New Roman" w:eastAsia="方正小标宋简体" w:cs="Times New Roman"/>
          <w:kern w:val="0"/>
          <w:sz w:val="32"/>
          <w:szCs w:val="32"/>
        </w:rPr>
      </w:pPr>
    </w:p>
    <w:p>
      <w:pPr>
        <w:spacing w:line="540" w:lineRule="exact"/>
        <w:jc w:val="left"/>
        <w:rPr>
          <w:rFonts w:ascii="方正黑体简体" w:hAnsi="华文中宋" w:eastAsia="方正黑体简体" w:cs="Times New Roman"/>
          <w:kern w:val="0"/>
          <w:sz w:val="30"/>
          <w:szCs w:val="30"/>
        </w:rPr>
      </w:pPr>
      <w:r>
        <w:rPr>
          <w:rFonts w:hint="eastAsia" w:ascii="方正黑体简体" w:hAnsi="华文中宋" w:eastAsia="方正黑体简体" w:cs="Times New Roman"/>
          <w:kern w:val="0"/>
          <w:sz w:val="30"/>
          <w:szCs w:val="30"/>
        </w:rPr>
        <w:t>附件2</w:t>
      </w:r>
    </w:p>
    <w:p>
      <w:pPr>
        <w:spacing w:line="540" w:lineRule="exact"/>
        <w:jc w:val="center"/>
        <w:rPr>
          <w:rFonts w:ascii="方正小标宋简体" w:hAnsi="Times New Roman" w:eastAsia="方正小标宋简体" w:cs="Times New Roman"/>
          <w:kern w:val="0"/>
          <w:sz w:val="36"/>
          <w:szCs w:val="36"/>
        </w:rPr>
      </w:pPr>
      <w:r>
        <w:rPr>
          <w:rFonts w:hint="eastAsia" w:ascii="方正小标宋简体" w:hAnsi="华文中宋" w:eastAsia="方正小标宋简体" w:cs="Times New Roman"/>
          <w:kern w:val="0"/>
          <w:sz w:val="36"/>
          <w:szCs w:val="36"/>
        </w:rPr>
        <w:t>上海财经大学浙江学院资产报损审批表</w:t>
      </w:r>
    </w:p>
    <w:p>
      <w:pPr>
        <w:widowControl/>
        <w:rPr>
          <w:rFonts w:ascii="Times New Roman" w:hAnsi="Times New Roman" w:eastAsia="仿宋_GB2312" w:cs="Times New Roman"/>
          <w:sz w:val="32"/>
          <w:szCs w:val="32"/>
        </w:rPr>
      </w:pPr>
      <w:r>
        <w:rPr>
          <w:rFonts w:ascii="Times New Roman" w:hAnsi="Times New Roman" w:eastAsia="仿宋_GB2312" w:cs="Times New Roman"/>
          <w:kern w:val="0"/>
          <w:sz w:val="28"/>
          <w:szCs w:val="28"/>
        </w:rPr>
        <w:t>申报</w:t>
      </w:r>
      <w:r>
        <w:rPr>
          <w:rFonts w:hint="eastAsia" w:ascii="Times New Roman" w:hAnsi="Times New Roman" w:eastAsia="仿宋_GB2312" w:cs="Times New Roman"/>
          <w:kern w:val="0"/>
          <w:sz w:val="28"/>
          <w:szCs w:val="28"/>
        </w:rPr>
        <w:t>系部</w:t>
      </w:r>
      <w:r>
        <w:rPr>
          <w:rFonts w:ascii="Times New Roman" w:hAnsi="Times New Roman" w:eastAsia="仿宋_GB2312" w:cs="Times New Roman"/>
          <w:kern w:val="0"/>
          <w:sz w:val="28"/>
          <w:szCs w:val="28"/>
        </w:rPr>
        <w:t>：                         申报时间：    年   月   日</w:t>
      </w:r>
    </w:p>
    <w:tbl>
      <w:tblPr>
        <w:tblStyle w:val="8"/>
        <w:tblW w:w="8799" w:type="dxa"/>
        <w:tblInd w:w="94" w:type="dxa"/>
        <w:tblLayout w:type="fixed"/>
        <w:tblCellMar>
          <w:top w:w="0" w:type="dxa"/>
          <w:left w:w="108" w:type="dxa"/>
          <w:bottom w:w="0" w:type="dxa"/>
          <w:right w:w="108" w:type="dxa"/>
        </w:tblCellMar>
      </w:tblPr>
      <w:tblGrid>
        <w:gridCol w:w="1814"/>
        <w:gridCol w:w="2520"/>
        <w:gridCol w:w="1440"/>
        <w:gridCol w:w="3025"/>
      </w:tblGrid>
      <w:tr>
        <w:tblPrEx>
          <w:tblLayout w:type="fixed"/>
          <w:tblCellMar>
            <w:top w:w="0" w:type="dxa"/>
            <w:left w:w="108" w:type="dxa"/>
            <w:bottom w:w="0" w:type="dxa"/>
            <w:right w:w="108" w:type="dxa"/>
          </w:tblCellMar>
        </w:tblPrEx>
        <w:trPr>
          <w:trHeight w:val="624" w:hRule="atLeast"/>
        </w:trPr>
        <w:tc>
          <w:tcPr>
            <w:tcW w:w="1814"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资产名称</w:t>
            </w:r>
          </w:p>
        </w:tc>
        <w:tc>
          <w:tcPr>
            <w:tcW w:w="2520"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w:t>
            </w:r>
          </w:p>
        </w:tc>
        <w:tc>
          <w:tcPr>
            <w:tcW w:w="1440"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数    量</w:t>
            </w:r>
          </w:p>
        </w:tc>
        <w:tc>
          <w:tcPr>
            <w:tcW w:w="3025"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w:t>
            </w:r>
          </w:p>
        </w:tc>
      </w:tr>
      <w:tr>
        <w:tblPrEx>
          <w:tblLayout w:type="fixed"/>
          <w:tblCellMar>
            <w:top w:w="0" w:type="dxa"/>
            <w:left w:w="108" w:type="dxa"/>
            <w:bottom w:w="0" w:type="dxa"/>
            <w:right w:w="108" w:type="dxa"/>
          </w:tblCellMar>
        </w:tblPrEx>
        <w:trPr>
          <w:trHeight w:val="624" w:hRule="atLeast"/>
        </w:trPr>
        <w:tc>
          <w:tcPr>
            <w:tcW w:w="181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账面价值</w:t>
            </w:r>
          </w:p>
        </w:tc>
        <w:tc>
          <w:tcPr>
            <w:tcW w:w="25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规格型号</w:t>
            </w:r>
          </w:p>
        </w:tc>
        <w:tc>
          <w:tcPr>
            <w:tcW w:w="3025"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w:t>
            </w:r>
          </w:p>
        </w:tc>
      </w:tr>
      <w:tr>
        <w:tblPrEx>
          <w:tblLayout w:type="fixed"/>
          <w:tblCellMar>
            <w:top w:w="0" w:type="dxa"/>
            <w:left w:w="108" w:type="dxa"/>
            <w:bottom w:w="0" w:type="dxa"/>
            <w:right w:w="108" w:type="dxa"/>
          </w:tblCellMar>
        </w:tblPrEx>
        <w:trPr>
          <w:trHeight w:val="624" w:hRule="atLeast"/>
        </w:trPr>
        <w:tc>
          <w:tcPr>
            <w:tcW w:w="181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购建日期</w:t>
            </w:r>
          </w:p>
        </w:tc>
        <w:tc>
          <w:tcPr>
            <w:tcW w:w="25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存放地点</w:t>
            </w:r>
          </w:p>
        </w:tc>
        <w:tc>
          <w:tcPr>
            <w:tcW w:w="3025"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w:t>
            </w:r>
          </w:p>
        </w:tc>
      </w:tr>
      <w:tr>
        <w:tblPrEx>
          <w:tblLayout w:type="fixed"/>
          <w:tblCellMar>
            <w:top w:w="0" w:type="dxa"/>
            <w:left w:w="108" w:type="dxa"/>
            <w:bottom w:w="0" w:type="dxa"/>
            <w:right w:w="108" w:type="dxa"/>
          </w:tblCellMar>
        </w:tblPrEx>
        <w:trPr>
          <w:trHeight w:val="624" w:hRule="atLeast"/>
        </w:trPr>
        <w:tc>
          <w:tcPr>
            <w:tcW w:w="181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使用部门</w:t>
            </w:r>
          </w:p>
        </w:tc>
        <w:tc>
          <w:tcPr>
            <w:tcW w:w="25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w:t>
            </w:r>
          </w:p>
        </w:tc>
        <w:tc>
          <w:tcPr>
            <w:tcW w:w="144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保 管 人</w:t>
            </w:r>
          </w:p>
        </w:tc>
        <w:tc>
          <w:tcPr>
            <w:tcW w:w="3025"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w:t>
            </w:r>
          </w:p>
        </w:tc>
      </w:tr>
      <w:tr>
        <w:tblPrEx>
          <w:tblLayout w:type="fixed"/>
          <w:tblCellMar>
            <w:top w:w="0" w:type="dxa"/>
            <w:left w:w="108" w:type="dxa"/>
            <w:bottom w:w="0" w:type="dxa"/>
            <w:right w:w="108" w:type="dxa"/>
          </w:tblCellMar>
        </w:tblPrEx>
        <w:trPr>
          <w:trHeight w:val="1134" w:hRule="atLeast"/>
        </w:trPr>
        <w:tc>
          <w:tcPr>
            <w:tcW w:w="181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资产用途</w:t>
            </w:r>
          </w:p>
        </w:tc>
        <w:tc>
          <w:tcPr>
            <w:tcW w:w="6985" w:type="dxa"/>
            <w:gridSpan w:val="3"/>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w:t>
            </w:r>
          </w:p>
        </w:tc>
      </w:tr>
      <w:tr>
        <w:tblPrEx>
          <w:tblLayout w:type="fixed"/>
          <w:tblCellMar>
            <w:top w:w="0" w:type="dxa"/>
            <w:left w:w="108" w:type="dxa"/>
            <w:bottom w:w="0" w:type="dxa"/>
            <w:right w:w="108" w:type="dxa"/>
          </w:tblCellMar>
        </w:tblPrEx>
        <w:trPr>
          <w:trHeight w:val="1134" w:hRule="atLeast"/>
        </w:trPr>
        <w:tc>
          <w:tcPr>
            <w:tcW w:w="181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报损原因</w:t>
            </w:r>
          </w:p>
        </w:tc>
        <w:tc>
          <w:tcPr>
            <w:tcW w:w="6985" w:type="dxa"/>
            <w:gridSpan w:val="3"/>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w:t>
            </w:r>
          </w:p>
        </w:tc>
      </w:tr>
      <w:tr>
        <w:tblPrEx>
          <w:tblLayout w:type="fixed"/>
          <w:tblCellMar>
            <w:top w:w="0" w:type="dxa"/>
            <w:left w:w="108" w:type="dxa"/>
            <w:bottom w:w="0" w:type="dxa"/>
            <w:right w:w="108" w:type="dxa"/>
          </w:tblCellMar>
        </w:tblPrEx>
        <w:trPr>
          <w:trHeight w:val="1091" w:hRule="atLeast"/>
        </w:trPr>
        <w:tc>
          <w:tcPr>
            <w:tcW w:w="1814" w:type="dxa"/>
            <w:tcBorders>
              <w:top w:val="nil"/>
              <w:left w:val="single" w:color="auto" w:sz="8" w:space="0"/>
              <w:bottom w:val="single" w:color="auto" w:sz="4" w:space="0"/>
              <w:right w:val="single" w:color="auto" w:sz="4" w:space="0"/>
            </w:tcBorders>
            <w:shd w:val="clear" w:color="auto" w:fill="auto"/>
            <w:vAlign w:val="center"/>
          </w:tcPr>
          <w:p>
            <w:pPr>
              <w:widowControl/>
              <w:spacing w:line="44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责任认定和处理意见</w:t>
            </w:r>
          </w:p>
        </w:tc>
        <w:tc>
          <w:tcPr>
            <w:tcW w:w="6985" w:type="dxa"/>
            <w:gridSpan w:val="3"/>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w:t>
            </w:r>
          </w:p>
        </w:tc>
      </w:tr>
      <w:tr>
        <w:tblPrEx>
          <w:tblLayout w:type="fixed"/>
          <w:tblCellMar>
            <w:top w:w="0" w:type="dxa"/>
            <w:left w:w="108" w:type="dxa"/>
            <w:bottom w:w="0" w:type="dxa"/>
            <w:right w:w="108" w:type="dxa"/>
          </w:tblCellMar>
        </w:tblPrEx>
        <w:trPr>
          <w:trHeight w:val="923" w:hRule="atLeast"/>
        </w:trPr>
        <w:tc>
          <w:tcPr>
            <w:tcW w:w="1814" w:type="dxa"/>
            <w:tcBorders>
              <w:top w:val="nil"/>
              <w:left w:val="single" w:color="auto" w:sz="8" w:space="0"/>
              <w:bottom w:val="single" w:color="auto" w:sz="4" w:space="0"/>
              <w:right w:val="single" w:color="auto" w:sz="4" w:space="0"/>
            </w:tcBorders>
            <w:shd w:val="clear" w:color="auto" w:fill="auto"/>
            <w:vAlign w:val="center"/>
          </w:tcPr>
          <w:p>
            <w:pPr>
              <w:widowControl/>
              <w:spacing w:line="44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使用保管</w:t>
            </w:r>
          </w:p>
          <w:p>
            <w:pPr>
              <w:widowControl/>
              <w:spacing w:line="44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单位意见</w:t>
            </w:r>
          </w:p>
        </w:tc>
        <w:tc>
          <w:tcPr>
            <w:tcW w:w="6985" w:type="dxa"/>
            <w:gridSpan w:val="3"/>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w:t>
            </w:r>
          </w:p>
        </w:tc>
      </w:tr>
      <w:tr>
        <w:tblPrEx>
          <w:tblLayout w:type="fixed"/>
          <w:tblCellMar>
            <w:top w:w="0" w:type="dxa"/>
            <w:left w:w="108" w:type="dxa"/>
            <w:bottom w:w="0" w:type="dxa"/>
            <w:right w:w="108" w:type="dxa"/>
          </w:tblCellMar>
        </w:tblPrEx>
        <w:trPr>
          <w:trHeight w:val="1076" w:hRule="atLeast"/>
        </w:trPr>
        <w:tc>
          <w:tcPr>
            <w:tcW w:w="1814" w:type="dxa"/>
            <w:tcBorders>
              <w:top w:val="nil"/>
              <w:left w:val="single" w:color="auto" w:sz="8" w:space="0"/>
              <w:bottom w:val="single" w:color="auto" w:sz="4" w:space="0"/>
              <w:right w:val="single" w:color="auto" w:sz="4" w:space="0"/>
            </w:tcBorders>
            <w:shd w:val="clear" w:color="auto" w:fill="auto"/>
            <w:vAlign w:val="center"/>
          </w:tcPr>
          <w:p>
            <w:pPr>
              <w:widowControl/>
              <w:spacing w:line="44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资产管理</w:t>
            </w:r>
          </w:p>
          <w:p>
            <w:pPr>
              <w:widowControl/>
              <w:spacing w:line="44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部门意见</w:t>
            </w:r>
          </w:p>
        </w:tc>
        <w:tc>
          <w:tcPr>
            <w:tcW w:w="6985" w:type="dxa"/>
            <w:gridSpan w:val="3"/>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w:t>
            </w:r>
          </w:p>
        </w:tc>
      </w:tr>
      <w:tr>
        <w:tblPrEx>
          <w:tblLayout w:type="fixed"/>
          <w:tblCellMar>
            <w:top w:w="0" w:type="dxa"/>
            <w:left w:w="108" w:type="dxa"/>
            <w:bottom w:w="0" w:type="dxa"/>
            <w:right w:w="108" w:type="dxa"/>
          </w:tblCellMar>
        </w:tblPrEx>
        <w:trPr>
          <w:trHeight w:val="920" w:hRule="atLeast"/>
        </w:trPr>
        <w:tc>
          <w:tcPr>
            <w:tcW w:w="1814" w:type="dxa"/>
            <w:tcBorders>
              <w:top w:val="nil"/>
              <w:left w:val="single" w:color="auto" w:sz="8" w:space="0"/>
              <w:bottom w:val="single" w:color="auto" w:sz="4" w:space="0"/>
              <w:right w:val="single" w:color="auto" w:sz="4" w:space="0"/>
            </w:tcBorders>
            <w:shd w:val="clear" w:color="auto" w:fill="auto"/>
            <w:vAlign w:val="center"/>
          </w:tcPr>
          <w:p>
            <w:pPr>
              <w:widowControl/>
              <w:spacing w:line="44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财务管理</w:t>
            </w:r>
          </w:p>
          <w:p>
            <w:pPr>
              <w:widowControl/>
              <w:spacing w:line="44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部门意见</w:t>
            </w:r>
          </w:p>
        </w:tc>
        <w:tc>
          <w:tcPr>
            <w:tcW w:w="6985" w:type="dxa"/>
            <w:gridSpan w:val="3"/>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w:t>
            </w:r>
          </w:p>
        </w:tc>
      </w:tr>
      <w:tr>
        <w:tblPrEx>
          <w:tblLayout w:type="fixed"/>
          <w:tblCellMar>
            <w:top w:w="0" w:type="dxa"/>
            <w:left w:w="108" w:type="dxa"/>
            <w:bottom w:w="0" w:type="dxa"/>
            <w:right w:w="108" w:type="dxa"/>
          </w:tblCellMar>
        </w:tblPrEx>
        <w:trPr>
          <w:trHeight w:val="1087" w:hRule="atLeast"/>
        </w:trPr>
        <w:tc>
          <w:tcPr>
            <w:tcW w:w="1814" w:type="dxa"/>
            <w:tcBorders>
              <w:top w:val="nil"/>
              <w:left w:val="single" w:color="auto" w:sz="8" w:space="0"/>
              <w:bottom w:val="single" w:color="auto" w:sz="8" w:space="0"/>
              <w:right w:val="single" w:color="auto" w:sz="4" w:space="0"/>
            </w:tcBorders>
            <w:shd w:val="clear" w:color="auto" w:fill="auto"/>
            <w:vAlign w:val="center"/>
          </w:tcPr>
          <w:p>
            <w:pPr>
              <w:widowControl/>
              <w:spacing w:line="440" w:lineRule="exact"/>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学院</w:t>
            </w:r>
            <w:r>
              <w:rPr>
                <w:rFonts w:ascii="Times New Roman" w:hAnsi="Times New Roman" w:eastAsia="仿宋_GB2312" w:cs="Times New Roman"/>
                <w:kern w:val="0"/>
                <w:sz w:val="28"/>
                <w:szCs w:val="28"/>
              </w:rPr>
              <w:t>领导</w:t>
            </w:r>
          </w:p>
          <w:p>
            <w:pPr>
              <w:widowControl/>
              <w:spacing w:line="44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审批意见</w:t>
            </w:r>
          </w:p>
        </w:tc>
        <w:tc>
          <w:tcPr>
            <w:tcW w:w="6985" w:type="dxa"/>
            <w:gridSpan w:val="3"/>
            <w:tcBorders>
              <w:top w:val="single" w:color="auto" w:sz="4" w:space="0"/>
              <w:left w:val="nil"/>
              <w:bottom w:val="single" w:color="auto" w:sz="8" w:space="0"/>
              <w:right w:val="single" w:color="000000" w:sz="8" w:space="0"/>
            </w:tcBorders>
            <w:shd w:val="clear" w:color="auto" w:fill="auto"/>
            <w:vAlign w:val="center"/>
          </w:tcPr>
          <w:p>
            <w:pPr>
              <w:widowControl/>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w:t>
            </w:r>
          </w:p>
        </w:tc>
      </w:tr>
    </w:tbl>
    <w:p>
      <w:pPr>
        <w:rPr>
          <w:rFonts w:ascii="Times New Roman" w:hAnsi="Times New Roman" w:eastAsia="仿宋_GB2312" w:cs="Times New Roman"/>
          <w:sz w:val="32"/>
          <w:szCs w:val="32"/>
        </w:rPr>
      </w:pPr>
      <w:r>
        <w:rPr>
          <w:rFonts w:ascii="Times New Roman" w:hAnsi="Times New Roman" w:eastAsia="仿宋_GB2312" w:cs="Times New Roman"/>
          <w:kern w:val="0"/>
          <w:sz w:val="28"/>
          <w:szCs w:val="28"/>
        </w:rPr>
        <w:t>注：此表一式两份，一份</w:t>
      </w:r>
      <w:r>
        <w:rPr>
          <w:rFonts w:hint="eastAsia" w:ascii="Times New Roman" w:hAnsi="Times New Roman" w:eastAsia="仿宋_GB2312" w:cs="Times New Roman"/>
          <w:kern w:val="0"/>
          <w:sz w:val="28"/>
          <w:szCs w:val="28"/>
        </w:rPr>
        <w:t>交计划财务处</w:t>
      </w:r>
      <w:r>
        <w:rPr>
          <w:rFonts w:ascii="Times New Roman" w:hAnsi="Times New Roman" w:eastAsia="仿宋_GB2312" w:cs="Times New Roman"/>
          <w:kern w:val="0"/>
          <w:sz w:val="28"/>
          <w:szCs w:val="28"/>
        </w:rPr>
        <w:t>，一份资产管理部门留存。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简体">
    <w:altName w:val="Arial Unicode MS"/>
    <w:panose1 w:val="00000000000000000000"/>
    <w:charset w:val="86"/>
    <w:family w:val="auto"/>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7AA8"/>
    <w:rsid w:val="00100B3D"/>
    <w:rsid w:val="00172A27"/>
    <w:rsid w:val="00264D2D"/>
    <w:rsid w:val="00294D79"/>
    <w:rsid w:val="002B2BF4"/>
    <w:rsid w:val="002C69F1"/>
    <w:rsid w:val="002F5C0F"/>
    <w:rsid w:val="0033189B"/>
    <w:rsid w:val="00354D00"/>
    <w:rsid w:val="0036259F"/>
    <w:rsid w:val="00364741"/>
    <w:rsid w:val="003F52B8"/>
    <w:rsid w:val="0040092F"/>
    <w:rsid w:val="00477838"/>
    <w:rsid w:val="005654A5"/>
    <w:rsid w:val="00571604"/>
    <w:rsid w:val="00576813"/>
    <w:rsid w:val="00591B45"/>
    <w:rsid w:val="005D4CCA"/>
    <w:rsid w:val="00661F9C"/>
    <w:rsid w:val="006C2A2B"/>
    <w:rsid w:val="00725CF3"/>
    <w:rsid w:val="007874B1"/>
    <w:rsid w:val="007E2E57"/>
    <w:rsid w:val="0086192E"/>
    <w:rsid w:val="00861BE6"/>
    <w:rsid w:val="0086657C"/>
    <w:rsid w:val="00871A57"/>
    <w:rsid w:val="008C24B6"/>
    <w:rsid w:val="009443C2"/>
    <w:rsid w:val="009D06AF"/>
    <w:rsid w:val="009F5DBA"/>
    <w:rsid w:val="00A86F1A"/>
    <w:rsid w:val="00A97759"/>
    <w:rsid w:val="00AA3233"/>
    <w:rsid w:val="00AE5BF1"/>
    <w:rsid w:val="00AF6F40"/>
    <w:rsid w:val="00C0622E"/>
    <w:rsid w:val="00C20F5E"/>
    <w:rsid w:val="00C21821"/>
    <w:rsid w:val="00C60457"/>
    <w:rsid w:val="00C81417"/>
    <w:rsid w:val="00C8672B"/>
    <w:rsid w:val="00CC7A56"/>
    <w:rsid w:val="00CD71DE"/>
    <w:rsid w:val="00D40502"/>
    <w:rsid w:val="00D4267F"/>
    <w:rsid w:val="00D71DEC"/>
    <w:rsid w:val="00E43127"/>
    <w:rsid w:val="00EA18F8"/>
    <w:rsid w:val="00EC32DA"/>
    <w:rsid w:val="00F42143"/>
    <w:rsid w:val="00F46C16"/>
    <w:rsid w:val="00F53BC4"/>
    <w:rsid w:val="00F81968"/>
    <w:rsid w:val="00F83F69"/>
    <w:rsid w:val="00FC2909"/>
    <w:rsid w:val="00FE55E8"/>
    <w:rsid w:val="029B4E92"/>
    <w:rsid w:val="02FF6579"/>
    <w:rsid w:val="049A6C51"/>
    <w:rsid w:val="05232200"/>
    <w:rsid w:val="076D56CC"/>
    <w:rsid w:val="0AAE4205"/>
    <w:rsid w:val="0DFF0BC4"/>
    <w:rsid w:val="1041709C"/>
    <w:rsid w:val="15BB6E93"/>
    <w:rsid w:val="18DD724C"/>
    <w:rsid w:val="1DED3C2B"/>
    <w:rsid w:val="2B835ACB"/>
    <w:rsid w:val="38190F12"/>
    <w:rsid w:val="3B1D1FF1"/>
    <w:rsid w:val="3D663EEB"/>
    <w:rsid w:val="44AB4D1D"/>
    <w:rsid w:val="4C1E2A90"/>
    <w:rsid w:val="4D9E723F"/>
    <w:rsid w:val="52155B6B"/>
    <w:rsid w:val="552C2E8D"/>
    <w:rsid w:val="583440D1"/>
    <w:rsid w:val="595F5447"/>
    <w:rsid w:val="5B4C3F03"/>
    <w:rsid w:val="5F3F650E"/>
    <w:rsid w:val="61525453"/>
    <w:rsid w:val="61BC7FE0"/>
    <w:rsid w:val="64081C33"/>
    <w:rsid w:val="660A132E"/>
    <w:rsid w:val="6C640716"/>
    <w:rsid w:val="72BA3998"/>
    <w:rsid w:val="73877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rPr>
      <w:rFonts w:ascii="Times New Roman" w:hAnsi="Times New Roman" w:cs="Times New Roman"/>
      <w:sz w:val="24"/>
      <w:szCs w:val="24"/>
    </w:rPr>
  </w:style>
  <w:style w:type="character" w:styleId="6">
    <w:name w:val="FollowedHyperlink"/>
    <w:basedOn w:val="5"/>
    <w:semiHidden/>
    <w:unhideWhenUsed/>
    <w:qFormat/>
    <w:uiPriority w:val="99"/>
    <w:rPr>
      <w:color w:val="333333"/>
      <w:sz w:val="18"/>
      <w:szCs w:val="18"/>
      <w:u w:val="none"/>
    </w:rPr>
  </w:style>
  <w:style w:type="character" w:styleId="7">
    <w:name w:val="Hyperlink"/>
    <w:basedOn w:val="5"/>
    <w:unhideWhenUsed/>
    <w:qFormat/>
    <w:uiPriority w:val="99"/>
    <w:rPr>
      <w:color w:val="0000FF" w:themeColor="hyperlink"/>
      <w:u w:val="single"/>
      <w14:textFill>
        <w14:solidFill>
          <w14:schemeClr w14:val="hlink"/>
        </w14:solidFill>
      </w14:textFill>
    </w:rPr>
  </w:style>
  <w:style w:type="character" w:customStyle="1" w:styleId="9">
    <w:name w:val="页眉 Char"/>
    <w:basedOn w:val="5"/>
    <w:link w:val="3"/>
    <w:qFormat/>
    <w:uiPriority w:val="99"/>
    <w:rPr>
      <w:sz w:val="18"/>
      <w:szCs w:val="18"/>
    </w:rPr>
  </w:style>
  <w:style w:type="character" w:customStyle="1" w:styleId="10">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060578-D6C5-4A52-8CCA-2F63506B1AB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552</Words>
  <Characters>3150</Characters>
  <Lines>26</Lines>
  <Paragraphs>7</Paragraphs>
  <TotalTime>289</TotalTime>
  <ScaleCrop>false</ScaleCrop>
  <LinksUpToDate>false</LinksUpToDate>
  <CharactersWithSpaces>3695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2016-08-15T05:18:00Z</dcterms:created>
  <dc:creator>曾</dc:creator>
  <cp:lastModifiedBy>斯亚民</cp:lastModifiedBy>
  <cp:lastPrinted>2018-06-14T01:17:00Z</cp:lastPrinted>
  <dcterms:modified xsi:type="dcterms:W3CDTF">2018-11-05T02:23:40Z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