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12" w:beforeLines="100" w:after="312" w:afterLines="100" w:line="560" w:lineRule="exact"/>
        <w:ind w:firstLine="723" w:firstLineChars="200"/>
        <w:rPr>
          <w:rFonts w:ascii="仿宋" w:hAnsi="仿宋" w:eastAsia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ascii="仿宋" w:hAnsi="仿宋" w:eastAsia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年暑期维修改造工程监理单位采购需求</w:t>
      </w:r>
    </w:p>
    <w:p>
      <w:pPr>
        <w:pStyle w:val="3"/>
        <w:spacing w:before="312" w:beforeLines="100" w:after="312" w:afterLines="100" w:line="560" w:lineRule="exact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1.说明</w:t>
      </w:r>
    </w:p>
    <w:p>
      <w:pPr>
        <w:spacing w:line="560" w:lineRule="exac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1.1工程名称：上海财经大学浙江学院202</w:t>
      </w:r>
      <w: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年暑期维修改造工程。</w:t>
      </w:r>
    </w:p>
    <w:p>
      <w:pPr>
        <w:spacing w:line="560" w:lineRule="exac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2总投资：项目总投资约</w:t>
      </w:r>
      <w: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900</w:t>
      </w: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万元，其中毕业生公寓暑期维修改造工程370万元，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室外人行道地面改造工程</w:t>
      </w:r>
      <w: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128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万元，公寓及教学楼四周绿化提升工程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102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万元，校园电力改造（二期）工程1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07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万元，6号教学楼报告厅及智慧教室改造工程1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万元，公寓门禁系统改造工程4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万元，体育馆消防管网改造工程2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万元。</w:t>
      </w:r>
    </w:p>
    <w:p>
      <w:pPr>
        <w:pStyle w:val="13"/>
        <w:spacing w:line="560" w:lineRule="exact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3建设单位：上海财经大学浙江学院。</w:t>
      </w:r>
    </w:p>
    <w:p>
      <w:pPr>
        <w:pStyle w:val="3"/>
        <w:spacing w:before="312" w:beforeLines="100" w:after="312" w:afterLines="100" w:line="560" w:lineRule="exact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2.招标范围</w:t>
      </w:r>
    </w:p>
    <w:p>
      <w:pPr>
        <w:pStyle w:val="3"/>
        <w:spacing w:line="560" w:lineRule="exact"/>
        <w:rPr>
          <w:rFonts w:ascii="仿宋" w:hAnsi="仿宋" w:eastAsia="仿宋" w:cs="Times New Roman"/>
          <w:color w:val="000000" w:themeColor="text1"/>
          <w:spacing w:val="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Times New Roman"/>
          <w:color w:val="000000" w:themeColor="text1"/>
          <w:spacing w:val="10"/>
          <w:sz w:val="30"/>
          <w:szCs w:val="30"/>
          <w14:textFill>
            <w14:solidFill>
              <w14:schemeClr w14:val="tx1"/>
            </w14:solidFill>
          </w14:textFill>
        </w:rPr>
        <w:t>.1</w:t>
      </w:r>
      <w:r>
        <w:rPr>
          <w:rFonts w:hint="eastAsia" w:ascii="仿宋" w:hAnsi="仿宋" w:eastAsia="仿宋" w:cs="Times New Roman"/>
          <w:color w:val="000000" w:themeColor="text1"/>
          <w:spacing w:val="10"/>
          <w:sz w:val="30"/>
          <w:szCs w:val="30"/>
          <w14:textFill>
            <w14:solidFill>
              <w14:schemeClr w14:val="tx1"/>
            </w14:solidFill>
          </w14:textFill>
        </w:rPr>
        <w:t>工程监理：</w:t>
      </w:r>
    </w:p>
    <w:p>
      <w:pPr>
        <w:spacing w:line="560" w:lineRule="exact"/>
        <w:ind w:firstLine="600" w:firstLineChars="200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202</w:t>
      </w:r>
      <w: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年暑期维修改造工程</w:t>
      </w:r>
      <w:r>
        <w:rPr>
          <w:rFonts w:hint="eastAsia" w:ascii="仿宋" w:hAnsi="仿宋" w:eastAsia="仿宋"/>
          <w:color w:val="000000" w:themeColor="text1"/>
          <w:spacing w:val="10"/>
          <w:sz w:val="30"/>
          <w:szCs w:val="30"/>
          <w14:textFill>
            <w14:solidFill>
              <w14:schemeClr w14:val="tx1"/>
            </w14:solidFill>
          </w14:textFill>
        </w:rPr>
        <w:t>任务单范围的全部工作内容。监理工作内容参见建设部《工程建设监理合同》范本通用条款中的有关条款。</w:t>
      </w:r>
    </w:p>
    <w:p>
      <w:pPr>
        <w:spacing w:line="560" w:lineRule="exact"/>
        <w:rPr>
          <w:rFonts w:ascii="仿宋" w:hAnsi="仿宋" w:eastAsia="仿宋"/>
          <w:b/>
          <w:bCs/>
          <w:color w:val="000000" w:themeColor="text1"/>
          <w:spacing w:val="1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/>
          <w:b/>
          <w:bCs/>
          <w:color w:val="000000" w:themeColor="text1"/>
          <w:spacing w:val="10"/>
          <w:sz w:val="30"/>
          <w:szCs w:val="30"/>
          <w14:textFill>
            <w14:solidFill>
              <w14:schemeClr w14:val="tx1"/>
            </w14:solidFill>
          </w14:textFill>
        </w:rPr>
        <w:t>项目的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 w:themeColor="text1"/>
          <w:spacing w:val="10"/>
          <w:sz w:val="30"/>
          <w:szCs w:val="30"/>
          <w14:textFill>
            <w14:solidFill>
              <w14:schemeClr w14:val="tx1"/>
            </w14:solidFill>
          </w14:textFill>
        </w:rPr>
        <w:t>监理约定工期自各项目开工之日起暂定三个月。</w:t>
      </w:r>
    </w:p>
    <w:p>
      <w:pPr>
        <w:pStyle w:val="3"/>
        <w:spacing w:before="312" w:beforeLines="100" w:after="312" w:afterLines="100" w:line="560" w:lineRule="exact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3.投标单位的条件</w:t>
      </w:r>
    </w:p>
    <w:p>
      <w:pPr>
        <w:spacing w:line="560" w:lineRule="exac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3.1企业资质：具有独立法人资格，房屋建筑监理、市政工程监理甲级资质。</w:t>
      </w:r>
    </w:p>
    <w:p>
      <w:pPr>
        <w:spacing w:line="560" w:lineRule="exac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3.2项目总监：无在建监理项目。</w:t>
      </w:r>
    </w:p>
    <w:p>
      <w:pPr>
        <w:spacing w:line="560" w:lineRule="exac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3.3监理班子必须满足下列条件：总监1人，安装监理工程师1人，土建专监1人，绿化专监</w:t>
      </w:r>
      <w: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人，共</w:t>
      </w:r>
      <w: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人。其各资格注册证书，押证至项目竣工交付为止。</w:t>
      </w:r>
    </w:p>
    <w:p>
      <w:pPr>
        <w:spacing w:line="560" w:lineRule="exac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3.4到岗率要求：总监每月不得少于22天，其它监理人员每月不得少于26天，日常考核按招标单位现行考勤制度执行。</w:t>
      </w:r>
    </w:p>
    <w:p>
      <w:pPr>
        <w:pStyle w:val="3"/>
        <w:spacing w:before="312" w:beforeLines="100" w:after="312" w:afterLines="100" w:line="560" w:lineRule="exact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4.工作内容及费用</w:t>
      </w:r>
    </w:p>
    <w:p>
      <w:pPr>
        <w:spacing w:line="560" w:lineRule="exac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1工作内容：</w:t>
      </w:r>
    </w:p>
    <w:p>
      <w:pPr>
        <w:pStyle w:val="3"/>
        <w:spacing w:before="312" w:beforeLines="100" w:after="312" w:afterLines="100" w:line="560" w:lineRule="exact"/>
        <w:ind w:firstLine="600" w:firstLineChars="200"/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按照建设部《工程监理规范》，对招标范围内任务单范围内全部工程内容进行监理。</w:t>
      </w:r>
    </w:p>
    <w:p>
      <w:pPr>
        <w:pStyle w:val="3"/>
        <w:spacing w:before="312" w:beforeLines="100" w:after="312" w:afterLines="100" w:line="560" w:lineRule="exact"/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4.2 本次招标设置最高控制价为</w:t>
      </w:r>
      <w:r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148500</w:t>
      </w: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元。监理费按国家规范标准收费*</w:t>
      </w:r>
      <w:r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0%，约</w:t>
      </w:r>
      <w:r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900</w:t>
      </w: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*</w:t>
      </w:r>
      <w:r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3.3</w:t>
      </w: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%*</w:t>
      </w:r>
      <w:r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%=约</w:t>
      </w:r>
      <w:r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148500</w:t>
      </w: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元。投标单位对上述费用分别报价（或下浮率）。</w:t>
      </w:r>
    </w:p>
    <w:p>
      <w:pPr>
        <w:pStyle w:val="3"/>
        <w:spacing w:line="560" w:lineRule="exact"/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3费用中已包括了为实施和完成本项目工作所需的全部费用：工作成本、税金和利润等。工程延期不增加监理费用。</w:t>
      </w:r>
    </w:p>
    <w:p>
      <w:pPr>
        <w:pStyle w:val="3"/>
        <w:spacing w:line="560" w:lineRule="exact"/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4.4费用付款方式：工程竣工验收完成后15个工作日内，支付中标价的95%。余款待竣工结算后15个工作日内结算费用，由中标人开具正式发票。</w:t>
      </w:r>
    </w:p>
    <w:p>
      <w:pPr>
        <w:pStyle w:val="3"/>
        <w:spacing w:line="560" w:lineRule="exact"/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Times New Roman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5（工程开工后）招标人为中标单位提供办公室一间、提供中餐（二荤二蔬），其他办公设施、交通工具等由中标单位自理。</w:t>
      </w:r>
    </w:p>
    <w:p>
      <w:pPr>
        <w:pStyle w:val="3"/>
        <w:spacing w:before="312" w:beforeLines="100" w:after="312" w:afterLines="100" w:line="560" w:lineRule="exact"/>
        <w:rPr>
          <w:rFonts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5.违约责任</w:t>
      </w:r>
    </w:p>
    <w:p>
      <w:pPr>
        <w:widowControl/>
        <w:shd w:val="clear" w:color="auto" w:fill="FFFFFF"/>
        <w:spacing w:before="120" w:after="120" w:line="560" w:lineRule="exact"/>
        <w:jc w:val="lef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5.1 中标人的违约责任中标人未履行本合同义务的，应承担相应的责任。</w:t>
      </w:r>
    </w:p>
    <w:p>
      <w:pPr>
        <w:widowControl/>
        <w:shd w:val="clear" w:color="auto" w:fill="FFFFFF"/>
        <w:spacing w:before="120" w:after="120" w:line="560" w:lineRule="exact"/>
        <w:jc w:val="lef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5.1.1 因中标人违反本合同约定给委托人造成损失的，中标人应当赔偿委托人损失。赔偿金额的确定方法在专用条件中约定。中标人承担部分赔偿责任的，其承担赔偿金额由双方协商确定。</w:t>
      </w:r>
    </w:p>
    <w:p>
      <w:pPr>
        <w:widowControl/>
        <w:shd w:val="clear" w:color="auto" w:fill="FFFFFF"/>
        <w:spacing w:before="120" w:after="120" w:line="560" w:lineRule="exact"/>
        <w:jc w:val="lef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5.1.2 中标人向委托人的索赔不成立时，中标人应赔偿委托人由此发生的费用。</w:t>
      </w:r>
    </w:p>
    <w:p>
      <w:pPr>
        <w:widowControl/>
        <w:shd w:val="clear" w:color="auto" w:fill="FFFFFF"/>
        <w:spacing w:before="120" w:after="120" w:line="560" w:lineRule="exact"/>
        <w:jc w:val="lef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5.1.3违约责任：总监不到位，每天罚1000元，其他监理人员不到位，每天罚500元。</w:t>
      </w:r>
    </w:p>
    <w:p>
      <w:pPr>
        <w:widowControl/>
        <w:shd w:val="clear" w:color="auto" w:fill="FFFFFF"/>
        <w:spacing w:before="120" w:after="120" w:line="560" w:lineRule="exact"/>
        <w:jc w:val="left"/>
        <w:rPr>
          <w:rFonts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5.2 除外责任因非中标人的原因，且中标人无过错，发生工程质量事故、安全事故、工期延误等造成的损失，中标人不承担赔偿责任。因不可抗力导致本合同全部或部分不能履行时，双方各自承担其因此而造成的损失、损害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8242079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6C"/>
    <w:rsid w:val="00036D7D"/>
    <w:rsid w:val="00043E2E"/>
    <w:rsid w:val="000B1233"/>
    <w:rsid w:val="000D5D24"/>
    <w:rsid w:val="000F4051"/>
    <w:rsid w:val="00104407"/>
    <w:rsid w:val="00116724"/>
    <w:rsid w:val="0012762C"/>
    <w:rsid w:val="001310BD"/>
    <w:rsid w:val="00144C11"/>
    <w:rsid w:val="00145387"/>
    <w:rsid w:val="00167F5E"/>
    <w:rsid w:val="00182E6C"/>
    <w:rsid w:val="0021311C"/>
    <w:rsid w:val="00274AF8"/>
    <w:rsid w:val="00281379"/>
    <w:rsid w:val="00283491"/>
    <w:rsid w:val="002A7C75"/>
    <w:rsid w:val="002C72B7"/>
    <w:rsid w:val="002E2A18"/>
    <w:rsid w:val="002F432D"/>
    <w:rsid w:val="0030225C"/>
    <w:rsid w:val="00306B5A"/>
    <w:rsid w:val="00312561"/>
    <w:rsid w:val="00313554"/>
    <w:rsid w:val="00317CD1"/>
    <w:rsid w:val="00324FE4"/>
    <w:rsid w:val="00325B6C"/>
    <w:rsid w:val="0033431D"/>
    <w:rsid w:val="0036061F"/>
    <w:rsid w:val="00374072"/>
    <w:rsid w:val="00374DD2"/>
    <w:rsid w:val="003773C0"/>
    <w:rsid w:val="003A6C93"/>
    <w:rsid w:val="003C7C61"/>
    <w:rsid w:val="003D1771"/>
    <w:rsid w:val="003D29D1"/>
    <w:rsid w:val="00415CAA"/>
    <w:rsid w:val="00423782"/>
    <w:rsid w:val="00484438"/>
    <w:rsid w:val="004A2062"/>
    <w:rsid w:val="004A20DD"/>
    <w:rsid w:val="004A6AF1"/>
    <w:rsid w:val="004C134F"/>
    <w:rsid w:val="004C7EF6"/>
    <w:rsid w:val="004D63C1"/>
    <w:rsid w:val="004E040D"/>
    <w:rsid w:val="004E706D"/>
    <w:rsid w:val="004F3E3F"/>
    <w:rsid w:val="004F5AAC"/>
    <w:rsid w:val="004F7E7B"/>
    <w:rsid w:val="0053359B"/>
    <w:rsid w:val="00541E4A"/>
    <w:rsid w:val="00552E2E"/>
    <w:rsid w:val="00557532"/>
    <w:rsid w:val="00566C6D"/>
    <w:rsid w:val="00567E98"/>
    <w:rsid w:val="0057068F"/>
    <w:rsid w:val="005C1393"/>
    <w:rsid w:val="005D15D2"/>
    <w:rsid w:val="005E2A31"/>
    <w:rsid w:val="005F1327"/>
    <w:rsid w:val="00611E02"/>
    <w:rsid w:val="00646B1B"/>
    <w:rsid w:val="00651AF8"/>
    <w:rsid w:val="0068589E"/>
    <w:rsid w:val="006B00D8"/>
    <w:rsid w:val="006B46E0"/>
    <w:rsid w:val="006C57D3"/>
    <w:rsid w:val="006E36AF"/>
    <w:rsid w:val="007006FB"/>
    <w:rsid w:val="00716863"/>
    <w:rsid w:val="00732BA7"/>
    <w:rsid w:val="0074319B"/>
    <w:rsid w:val="00760ECE"/>
    <w:rsid w:val="007C3730"/>
    <w:rsid w:val="007E3DE9"/>
    <w:rsid w:val="007F6968"/>
    <w:rsid w:val="00807217"/>
    <w:rsid w:val="00825BBF"/>
    <w:rsid w:val="008351E3"/>
    <w:rsid w:val="00836923"/>
    <w:rsid w:val="00866D12"/>
    <w:rsid w:val="00870804"/>
    <w:rsid w:val="00885538"/>
    <w:rsid w:val="00892119"/>
    <w:rsid w:val="008A29B2"/>
    <w:rsid w:val="008A77AD"/>
    <w:rsid w:val="008B2B59"/>
    <w:rsid w:val="008F0F4D"/>
    <w:rsid w:val="008F6F6C"/>
    <w:rsid w:val="00912789"/>
    <w:rsid w:val="009128DC"/>
    <w:rsid w:val="00942791"/>
    <w:rsid w:val="009476FF"/>
    <w:rsid w:val="009530AB"/>
    <w:rsid w:val="0096665D"/>
    <w:rsid w:val="00971447"/>
    <w:rsid w:val="00976066"/>
    <w:rsid w:val="0099625E"/>
    <w:rsid w:val="009A3653"/>
    <w:rsid w:val="009D4677"/>
    <w:rsid w:val="009F6BEA"/>
    <w:rsid w:val="00A05367"/>
    <w:rsid w:val="00A079C6"/>
    <w:rsid w:val="00A07F2E"/>
    <w:rsid w:val="00A37A38"/>
    <w:rsid w:val="00A670CE"/>
    <w:rsid w:val="00AA18C4"/>
    <w:rsid w:val="00AC6086"/>
    <w:rsid w:val="00AE4D1C"/>
    <w:rsid w:val="00AE5F4A"/>
    <w:rsid w:val="00AF155E"/>
    <w:rsid w:val="00AF48D9"/>
    <w:rsid w:val="00AF648A"/>
    <w:rsid w:val="00B01DB9"/>
    <w:rsid w:val="00B04308"/>
    <w:rsid w:val="00B25AB6"/>
    <w:rsid w:val="00B3049D"/>
    <w:rsid w:val="00B60AAB"/>
    <w:rsid w:val="00BA5294"/>
    <w:rsid w:val="00BB33E2"/>
    <w:rsid w:val="00BC5DF8"/>
    <w:rsid w:val="00BE3E34"/>
    <w:rsid w:val="00C44341"/>
    <w:rsid w:val="00C4670A"/>
    <w:rsid w:val="00C529DD"/>
    <w:rsid w:val="00C52DE0"/>
    <w:rsid w:val="00C700AE"/>
    <w:rsid w:val="00C84987"/>
    <w:rsid w:val="00C84C07"/>
    <w:rsid w:val="00C95253"/>
    <w:rsid w:val="00CA633A"/>
    <w:rsid w:val="00CC6494"/>
    <w:rsid w:val="00CE077C"/>
    <w:rsid w:val="00CE07A8"/>
    <w:rsid w:val="00D054CF"/>
    <w:rsid w:val="00D14408"/>
    <w:rsid w:val="00D233EA"/>
    <w:rsid w:val="00D86E3B"/>
    <w:rsid w:val="00D9422B"/>
    <w:rsid w:val="00D975A3"/>
    <w:rsid w:val="00DB1176"/>
    <w:rsid w:val="00DB6E49"/>
    <w:rsid w:val="00DE74D8"/>
    <w:rsid w:val="00E01859"/>
    <w:rsid w:val="00E0323F"/>
    <w:rsid w:val="00E34540"/>
    <w:rsid w:val="00E51D8A"/>
    <w:rsid w:val="00E55263"/>
    <w:rsid w:val="00E6325F"/>
    <w:rsid w:val="00E77202"/>
    <w:rsid w:val="00E80C51"/>
    <w:rsid w:val="00EA1536"/>
    <w:rsid w:val="00EB7C1E"/>
    <w:rsid w:val="00EC4FF5"/>
    <w:rsid w:val="00ED0E56"/>
    <w:rsid w:val="00EE1F0A"/>
    <w:rsid w:val="00F2723B"/>
    <w:rsid w:val="00F32D50"/>
    <w:rsid w:val="00F3715A"/>
    <w:rsid w:val="00F412B2"/>
    <w:rsid w:val="00F57E95"/>
    <w:rsid w:val="00F61B31"/>
    <w:rsid w:val="00FA7308"/>
    <w:rsid w:val="00FC3C3C"/>
    <w:rsid w:val="6A2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Plain Text"/>
    <w:basedOn w:val="1"/>
    <w:link w:val="12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纯文本 字符"/>
    <w:basedOn w:val="9"/>
    <w:link w:val="3"/>
    <w:uiPriority w:val="0"/>
    <w:rPr>
      <w:rFonts w:ascii="宋体" w:hAnsi="Courier New" w:eastAsia="宋体" w:cs="Courier New"/>
      <w:szCs w:val="21"/>
    </w:rPr>
  </w:style>
  <w:style w:type="paragraph" w:customStyle="1" w:styleId="13">
    <w:name w:val="Char Char Char Char"/>
    <w:basedOn w:val="1"/>
    <w:uiPriority w:val="0"/>
    <w:pPr>
      <w:ind w:left="432" w:hanging="432"/>
    </w:pPr>
  </w:style>
  <w:style w:type="character" w:customStyle="1" w:styleId="14">
    <w:name w:val="页眉 字符"/>
    <w:basedOn w:val="9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8">
    <w:name w:val="批注主题 字符"/>
    <w:basedOn w:val="17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173</Words>
  <Characters>989</Characters>
  <Lines>8</Lines>
  <Paragraphs>2</Paragraphs>
  <TotalTime>244</TotalTime>
  <ScaleCrop>false</ScaleCrop>
  <LinksUpToDate>false</LinksUpToDate>
  <CharactersWithSpaces>1160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2019-04-01T08:54:00Z</dcterms:created>
  <dc:creator>钱永通</dc:creator>
  <cp:lastModifiedBy>J</cp:lastModifiedBy>
  <cp:lastPrinted>2019-04-01T08:45:00Z</cp:lastPrinted>
  <dcterms:modified xsi:type="dcterms:W3CDTF">2024-04-10T00:49:26Z</dcterms:modified>
  <cp:revision>204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