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pPr>
      <w:r>
        <w:rPr>
          <w:rFonts w:hint="eastAsia" w:ascii="黑体" w:hAnsi="黑体" w:eastAsia="黑体" w:cs="黑体"/>
          <w:sz w:val="36"/>
          <w:szCs w:val="36"/>
        </w:rPr>
        <w:t xml:space="preserve">上海财经大学浙江学院采购需求参数与实施计划书 </w:t>
      </w:r>
    </w:p>
    <w:tbl>
      <w:tblPr>
        <w:tblStyle w:val="10"/>
        <w:tblpPr w:leftFromText="180" w:rightFromText="180" w:vertAnchor="page" w:horzAnchor="page" w:tblpX="1619" w:tblpY="2127"/>
        <w:tblW w:w="888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87"/>
        <w:gridCol w:w="735"/>
        <w:gridCol w:w="1853"/>
        <w:gridCol w:w="1059"/>
        <w:gridCol w:w="1850"/>
        <w:gridCol w:w="22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2" w:type="dxa"/>
            <w:gridSpan w:val="2"/>
            <w:vAlign w:val="center"/>
          </w:tcPr>
          <w:p>
            <w:pPr>
              <w:jc w:val="center"/>
              <w:rPr>
                <w:rFonts w:ascii="宋体" w:hAnsi="宋体" w:eastAsia="宋体" w:cs="宋体"/>
                <w:b/>
                <w:bCs/>
                <w:szCs w:val="21"/>
              </w:rPr>
            </w:pPr>
            <w:r>
              <w:rPr>
                <w:rFonts w:hint="eastAsia" w:ascii="宋体" w:hAnsi="宋体" w:eastAsia="宋体" w:cs="宋体"/>
                <w:b/>
                <w:bCs/>
                <w:szCs w:val="21"/>
              </w:rPr>
              <w:t>/</w:t>
            </w:r>
          </w:p>
        </w:tc>
        <w:tc>
          <w:tcPr>
            <w:tcW w:w="6962" w:type="dxa"/>
            <w:gridSpan w:val="4"/>
            <w:vAlign w:val="center"/>
          </w:tcPr>
          <w:p>
            <w:pPr>
              <w:jc w:val="center"/>
              <w:rPr>
                <w:rFonts w:ascii="宋体" w:hAnsi="宋体" w:eastAsia="宋体" w:cs="宋体"/>
                <w:szCs w:val="21"/>
              </w:rPr>
            </w:pPr>
            <w:r>
              <w:rPr>
                <w:rFonts w:hint="eastAsia" w:ascii="宋体" w:hAnsi="宋体" w:eastAsia="宋体" w:cs="宋体"/>
                <w:b/>
                <w:bCs/>
                <w:szCs w:val="21"/>
              </w:rPr>
              <w:t>上海财经大学浙江学院互联网+大学安全教育服务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2" w:type="dxa"/>
            <w:gridSpan w:val="2"/>
            <w:vAlign w:val="center"/>
          </w:tcPr>
          <w:p>
            <w:pPr>
              <w:jc w:val="center"/>
              <w:rPr>
                <w:rFonts w:ascii="宋体" w:hAnsi="宋体" w:eastAsia="宋体" w:cs="宋体"/>
                <w:b/>
                <w:bCs/>
                <w:szCs w:val="21"/>
              </w:rPr>
            </w:pPr>
            <w:r>
              <w:rPr>
                <w:rFonts w:hint="eastAsia" w:ascii="宋体" w:hAnsi="宋体" w:eastAsia="宋体" w:cs="宋体"/>
                <w:b/>
                <w:bCs/>
                <w:szCs w:val="21"/>
              </w:rPr>
              <w:t>采购预算价</w:t>
            </w:r>
          </w:p>
        </w:tc>
        <w:tc>
          <w:tcPr>
            <w:tcW w:w="2912" w:type="dxa"/>
            <w:gridSpan w:val="2"/>
            <w:vAlign w:val="center"/>
          </w:tcPr>
          <w:p>
            <w:pPr>
              <w:jc w:val="center"/>
            </w:pPr>
            <w:r>
              <w:rPr>
                <w:rFonts w:hint="eastAsia"/>
              </w:rPr>
              <w:t>35000</w:t>
            </w:r>
          </w:p>
        </w:tc>
        <w:tc>
          <w:tcPr>
            <w:tcW w:w="1850" w:type="dxa"/>
            <w:vAlign w:val="center"/>
          </w:tcPr>
          <w:p>
            <w:pPr>
              <w:jc w:val="center"/>
              <w:rPr>
                <w:rFonts w:ascii="宋体" w:hAnsi="宋体" w:eastAsia="宋体" w:cs="宋体"/>
                <w:b/>
                <w:bCs/>
                <w:szCs w:val="21"/>
              </w:rPr>
            </w:pPr>
            <w:r>
              <w:rPr>
                <w:rFonts w:hint="eastAsia" w:ascii="宋体" w:hAnsi="宋体" w:eastAsia="宋体" w:cs="宋体"/>
                <w:b/>
                <w:bCs/>
                <w:szCs w:val="21"/>
              </w:rPr>
              <w:t>使用部门名称</w:t>
            </w:r>
          </w:p>
        </w:tc>
        <w:tc>
          <w:tcPr>
            <w:tcW w:w="2200" w:type="dxa"/>
            <w:vAlign w:val="center"/>
          </w:tcPr>
          <w:p>
            <w:pPr>
              <w:jc w:val="center"/>
              <w:rPr>
                <w:rFonts w:ascii="宋体" w:hAnsi="宋体" w:eastAsia="宋体" w:cs="宋体"/>
                <w:szCs w:val="21"/>
              </w:rPr>
            </w:pPr>
            <w:r>
              <w:rPr>
                <w:rFonts w:hint="eastAsia" w:ascii="宋体" w:hAnsi="宋体" w:eastAsia="宋体" w:cs="宋体"/>
                <w:szCs w:val="21"/>
              </w:rPr>
              <w:t>保卫处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1922" w:type="dxa"/>
            <w:gridSpan w:val="2"/>
            <w:vAlign w:val="center"/>
          </w:tcPr>
          <w:p>
            <w:pPr>
              <w:jc w:val="center"/>
              <w:rPr>
                <w:rFonts w:ascii="宋体" w:hAnsi="宋体" w:eastAsia="宋体" w:cs="宋体"/>
                <w:b/>
                <w:bCs/>
                <w:szCs w:val="21"/>
              </w:rPr>
            </w:pPr>
            <w:r>
              <w:rPr>
                <w:rFonts w:hint="eastAsia" w:ascii="宋体" w:hAnsi="宋体" w:eastAsia="宋体" w:cs="宋体"/>
                <w:b/>
                <w:bCs/>
                <w:szCs w:val="21"/>
              </w:rPr>
              <w:t>联系人</w:t>
            </w:r>
          </w:p>
        </w:tc>
        <w:tc>
          <w:tcPr>
            <w:tcW w:w="2912" w:type="dxa"/>
            <w:gridSpan w:val="2"/>
            <w:vAlign w:val="center"/>
          </w:tcPr>
          <w:p>
            <w:pPr>
              <w:jc w:val="center"/>
            </w:pPr>
            <w:r>
              <w:rPr>
                <w:rFonts w:hint="eastAsia"/>
              </w:rPr>
              <w:t>缪明礼</w:t>
            </w:r>
          </w:p>
        </w:tc>
        <w:tc>
          <w:tcPr>
            <w:tcW w:w="1850" w:type="dxa"/>
            <w:vAlign w:val="center"/>
          </w:tcPr>
          <w:p>
            <w:pPr>
              <w:jc w:val="center"/>
              <w:rPr>
                <w:rFonts w:ascii="宋体" w:hAnsi="宋体" w:eastAsia="宋体" w:cs="宋体"/>
                <w:b/>
                <w:bCs/>
                <w:szCs w:val="21"/>
              </w:rPr>
            </w:pPr>
            <w:r>
              <w:rPr>
                <w:rFonts w:hint="eastAsia" w:ascii="宋体" w:hAnsi="宋体" w:eastAsia="宋体" w:cs="宋体"/>
                <w:b/>
                <w:bCs/>
                <w:szCs w:val="21"/>
              </w:rPr>
              <w:t>联系方式</w:t>
            </w:r>
          </w:p>
        </w:tc>
        <w:tc>
          <w:tcPr>
            <w:tcW w:w="2200" w:type="dxa"/>
            <w:vAlign w:val="center"/>
          </w:tcPr>
          <w:p>
            <w:pPr>
              <w:jc w:val="center"/>
              <w:rPr>
                <w:rFonts w:ascii="宋体" w:hAnsi="宋体" w:eastAsia="宋体" w:cs="宋体"/>
                <w:szCs w:val="21"/>
              </w:rPr>
            </w:pPr>
            <w:r>
              <w:rPr>
                <w:rFonts w:ascii="宋体" w:hAnsi="宋体" w:eastAsia="宋体" w:cs="宋体"/>
                <w:szCs w:val="21"/>
              </w:rPr>
              <w:t>13750983007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884" w:type="dxa"/>
            <w:gridSpan w:val="6"/>
            <w:vAlign w:val="center"/>
          </w:tcPr>
          <w:p>
            <w:pPr>
              <w:ind w:firstLine="161" w:firstLineChars="50"/>
              <w:jc w:val="center"/>
              <w:rPr>
                <w:rFonts w:asciiTheme="majorEastAsia" w:hAnsiTheme="majorEastAsia" w:eastAsiaTheme="majorEastAsia"/>
                <w:sz w:val="22"/>
              </w:rPr>
            </w:pPr>
            <w:r>
              <w:rPr>
                <w:rFonts w:hint="eastAsia"/>
                <w:b/>
                <w:bCs/>
                <w:sz w:val="32"/>
                <w:szCs w:val="36"/>
              </w:rPr>
              <w:t>采 购 需 求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95" w:hRule="atLeast"/>
        </w:trPr>
        <w:tc>
          <w:tcPr>
            <w:tcW w:w="1187"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技术要求</w:t>
            </w:r>
          </w:p>
          <w:p>
            <w:pPr>
              <w:rPr>
                <w:rFonts w:ascii="宋体" w:hAnsi="宋体" w:eastAsia="宋体" w:cs="宋体"/>
                <w:szCs w:val="21"/>
              </w:rPr>
            </w:pPr>
            <w:r>
              <w:rPr>
                <w:rFonts w:hint="eastAsia" w:ascii="宋体" w:hAnsi="宋体" w:eastAsia="宋体" w:cs="宋体"/>
                <w:szCs w:val="21"/>
              </w:rPr>
              <w:t>（可根据实际项目情况适当调整）</w:t>
            </w:r>
          </w:p>
        </w:tc>
        <w:tc>
          <w:tcPr>
            <w:tcW w:w="7697" w:type="dxa"/>
            <w:gridSpan w:val="5"/>
            <w:vAlign w:val="center"/>
          </w:tcPr>
          <w:p>
            <w:pPr>
              <w:snapToGrid w:val="0"/>
              <w:rPr>
                <w:rFonts w:ascii="宋体" w:hAnsi="宋体" w:cs="宋体"/>
                <w:b/>
                <w:bCs/>
              </w:rPr>
            </w:pPr>
            <w:bookmarkStart w:id="0" w:name="_Toc95816803"/>
            <w:bookmarkStart w:id="1" w:name="_Toc96419959"/>
            <w:r>
              <w:rPr>
                <w:rFonts w:hint="eastAsia" w:ascii="宋体" w:hAnsi="宋体" w:cs="宋体"/>
                <w:b/>
                <w:bCs/>
              </w:rPr>
              <w:t>一、安全教育资源及范围</w:t>
            </w:r>
            <w:bookmarkEnd w:id="0"/>
            <w:bookmarkEnd w:id="1"/>
            <w:r>
              <w:rPr>
                <w:rFonts w:hint="eastAsia" w:ascii="宋体" w:hAnsi="宋体" w:cs="宋体"/>
                <w:b/>
                <w:bCs/>
              </w:rPr>
              <w:t>要求</w:t>
            </w:r>
          </w:p>
          <w:p>
            <w:pPr>
              <w:pStyle w:val="8"/>
              <w:snapToGrid w:val="0"/>
              <w:spacing w:line="240" w:lineRule="auto"/>
              <w:jc w:val="left"/>
              <w:rPr>
                <w:rFonts w:ascii="宋体" w:hAnsi="宋体" w:eastAsia="宋体" w:cs="宋体"/>
                <w:sz w:val="21"/>
                <w:szCs w:val="21"/>
              </w:rPr>
            </w:pPr>
            <w:bookmarkStart w:id="2" w:name="_Toc95816804"/>
            <w:bookmarkStart w:id="3" w:name="_Toc96419960"/>
            <w:r>
              <w:rPr>
                <w:rFonts w:hint="eastAsia" w:ascii="宋体" w:hAnsi="宋体" w:eastAsia="宋体" w:cs="宋体"/>
                <w:sz w:val="21"/>
                <w:szCs w:val="21"/>
              </w:rPr>
              <w:t>1、安全教育模块需涵盖以下内容</w:t>
            </w:r>
            <w:bookmarkEnd w:id="2"/>
            <w:bookmarkEnd w:id="3"/>
          </w:p>
          <w:p>
            <w:pPr>
              <w:pStyle w:val="8"/>
              <w:snapToGrid w:val="0"/>
              <w:spacing w:line="240" w:lineRule="auto"/>
              <w:ind w:firstLine="420" w:firstLineChars="200"/>
              <w:jc w:val="left"/>
              <w:rPr>
                <w:rFonts w:ascii="宋体" w:hAnsi="宋体" w:eastAsia="宋体" w:cs="宋体"/>
                <w:b w:val="0"/>
                <w:bCs w:val="0"/>
                <w:kern w:val="0"/>
                <w:sz w:val="21"/>
                <w:szCs w:val="21"/>
              </w:rPr>
            </w:pPr>
            <w:bookmarkStart w:id="4" w:name="_Toc95816805"/>
            <w:bookmarkStart w:id="5" w:name="_Toc96419961"/>
            <w:r>
              <w:rPr>
                <w:rFonts w:hint="eastAsia" w:ascii="宋体" w:hAnsi="宋体" w:eastAsia="宋体" w:cs="宋体"/>
                <w:b w:val="0"/>
                <w:bCs w:val="0"/>
                <w:kern w:val="0"/>
                <w:sz w:val="21"/>
                <w:szCs w:val="21"/>
              </w:rPr>
              <w:t>安全第一课、恋爱与性知识、人际交往、心理健康、沟通心理、运动安全、身体健康、艾滋病防治、传染病防治、急救知识、交通安全、消防安全、人身安全、财产安全、国家安全、总体国家安全观、外出及旅游安全、报到路途安全、回家及返校安全、防范诈骗、应对突发事件、自然灾害、求职安全、社会实践与实习安全、学业安全、反恐安全教育、网络安全、禁毒教育、居家安全、安全文化、诚信与法律、大学生家长必学、地区特色课等34大类。</w:t>
            </w:r>
          </w:p>
          <w:p>
            <w:pPr>
              <w:pStyle w:val="8"/>
              <w:snapToGrid w:val="0"/>
              <w:spacing w:line="240" w:lineRule="auto"/>
              <w:jc w:val="left"/>
              <w:rPr>
                <w:rFonts w:ascii="宋体" w:hAnsi="宋体" w:eastAsia="宋体" w:cs="宋体"/>
                <w:sz w:val="21"/>
                <w:szCs w:val="21"/>
              </w:rPr>
            </w:pPr>
            <w:r>
              <w:rPr>
                <w:rFonts w:hint="eastAsia" w:ascii="宋体" w:hAnsi="宋体" w:eastAsia="宋体" w:cs="宋体"/>
                <w:sz w:val="21"/>
                <w:szCs w:val="21"/>
              </w:rPr>
              <w:t>2、内容表现形式</w:t>
            </w:r>
            <w:bookmarkEnd w:id="4"/>
            <w:bookmarkEnd w:id="5"/>
          </w:p>
          <w:p>
            <w:pPr>
              <w:snapToGrid w:val="0"/>
              <w:ind w:firstLine="420" w:firstLineChars="200"/>
              <w:rPr>
                <w:rFonts w:ascii="宋体" w:hAnsi="宋体" w:cs="宋体"/>
              </w:rPr>
            </w:pPr>
            <w:r>
              <w:rPr>
                <w:rFonts w:hint="eastAsia" w:ascii="宋体" w:hAnsi="宋体" w:cs="宋体"/>
              </w:rPr>
              <w:t>课程以移动端微课为主要表现形式，采用翻页动画、H5动画、游戏交互、图文混排、动画视频、真人讲解、VR课等多种媒体表现方式，微课内容短小精悍，逻辑性强，每门微课时间约3-5分钟，其中翻页动画超过50%，视频形式的微课不得超过总体微课数量的30%。</w:t>
            </w:r>
          </w:p>
          <w:p>
            <w:pPr>
              <w:pStyle w:val="8"/>
              <w:snapToGrid w:val="0"/>
              <w:spacing w:line="240" w:lineRule="auto"/>
              <w:jc w:val="left"/>
              <w:rPr>
                <w:rFonts w:ascii="宋体" w:hAnsi="宋体" w:eastAsia="宋体" w:cs="宋体"/>
                <w:sz w:val="21"/>
                <w:szCs w:val="21"/>
              </w:rPr>
            </w:pPr>
            <w:bookmarkStart w:id="6" w:name="_Toc96419962"/>
            <w:bookmarkStart w:id="7" w:name="_Toc95816806"/>
            <w:r>
              <w:rPr>
                <w:rFonts w:hint="eastAsia" w:ascii="宋体" w:hAnsi="宋体" w:eastAsia="宋体" w:cs="宋体"/>
                <w:sz w:val="21"/>
                <w:szCs w:val="21"/>
              </w:rPr>
              <w:t>3、安全微课数量</w:t>
            </w:r>
            <w:bookmarkEnd w:id="6"/>
            <w:bookmarkEnd w:id="7"/>
          </w:p>
          <w:p>
            <w:pPr>
              <w:snapToGrid w:val="0"/>
              <w:ind w:firstLine="420" w:firstLineChars="200"/>
              <w:rPr>
                <w:rFonts w:ascii="宋体" w:hAnsi="宋体" w:cs="宋体"/>
              </w:rPr>
            </w:pPr>
            <w:r>
              <w:rPr>
                <w:rFonts w:hint="eastAsia" w:ascii="宋体" w:hAnsi="宋体" w:cs="宋体"/>
              </w:rPr>
              <w:t>需提供700门以上微课供学校挑选。</w:t>
            </w:r>
          </w:p>
          <w:p>
            <w:pPr>
              <w:snapToGrid w:val="0"/>
              <w:rPr>
                <w:rFonts w:ascii="宋体" w:hAnsi="宋体" w:cs="宋体"/>
                <w:b/>
                <w:bCs/>
              </w:rPr>
            </w:pPr>
            <w:bookmarkStart w:id="8" w:name="_Toc96419963"/>
            <w:r>
              <w:rPr>
                <w:rFonts w:hint="eastAsia" w:ascii="宋体" w:hAnsi="宋体" w:cs="宋体"/>
                <w:b/>
                <w:bCs/>
              </w:rPr>
              <w:t>二、安全教育学习平台</w:t>
            </w:r>
            <w:bookmarkEnd w:id="8"/>
            <w:r>
              <w:rPr>
                <w:rFonts w:hint="eastAsia" w:ascii="宋体" w:hAnsi="宋体" w:cs="宋体"/>
                <w:b/>
                <w:bCs/>
              </w:rPr>
              <w:t>功能要求</w:t>
            </w:r>
          </w:p>
          <w:p>
            <w:pPr>
              <w:snapToGrid w:val="0"/>
              <w:rPr>
                <w:rFonts w:ascii="宋体" w:hAnsi="宋体" w:cs="宋体"/>
                <w:b/>
                <w:bCs/>
              </w:rPr>
            </w:pPr>
            <w:bookmarkStart w:id="9" w:name="_Toc488159933"/>
            <w:bookmarkStart w:id="10" w:name="_Toc96419971"/>
            <w:bookmarkStart w:id="11" w:name="_Toc93653531"/>
            <w:r>
              <w:rPr>
                <w:rFonts w:hint="eastAsia" w:ascii="宋体" w:hAnsi="宋体" w:cs="宋体"/>
                <w:b/>
                <w:bCs/>
              </w:rPr>
              <w:t>1、平台基本要求</w:t>
            </w:r>
          </w:p>
          <w:p>
            <w:pPr>
              <w:pStyle w:val="18"/>
              <w:widowControl w:val="0"/>
              <w:snapToGrid w:val="0"/>
              <w:outlineLvl w:val="2"/>
              <w:rPr>
                <w:rFonts w:ascii="宋体" w:hAnsi="宋体" w:eastAsia="宋体" w:cs="宋体"/>
                <w:kern w:val="0"/>
              </w:rPr>
            </w:pPr>
            <w:r>
              <w:rPr>
                <w:rFonts w:hint="eastAsia" w:ascii="宋体" w:hAnsi="宋体" w:eastAsia="宋体" w:cs="宋体"/>
                <w:kern w:val="0"/>
              </w:rPr>
              <w:t>平台需支持手机、pad、pc等终端设备的学习方式；</w:t>
            </w:r>
          </w:p>
          <w:p>
            <w:pPr>
              <w:pStyle w:val="18"/>
              <w:widowControl w:val="0"/>
              <w:snapToGrid w:val="0"/>
              <w:outlineLvl w:val="2"/>
              <w:rPr>
                <w:rFonts w:ascii="宋体" w:hAnsi="宋体" w:eastAsia="宋体" w:cs="宋体"/>
                <w:kern w:val="0"/>
              </w:rPr>
            </w:pPr>
            <w:r>
              <w:rPr>
                <w:rFonts w:hint="eastAsia" w:ascii="宋体" w:hAnsi="宋体" w:eastAsia="宋体" w:cs="宋体"/>
                <w:kern w:val="0"/>
              </w:rPr>
              <w:t>平台可与学校的微信公众号对接，可以显示学校logo图标；</w:t>
            </w:r>
          </w:p>
          <w:p>
            <w:pPr>
              <w:pStyle w:val="18"/>
              <w:widowControl w:val="0"/>
              <w:snapToGrid w:val="0"/>
              <w:outlineLvl w:val="2"/>
              <w:rPr>
                <w:rFonts w:ascii="宋体" w:hAnsi="宋体" w:eastAsia="宋体" w:cs="宋体"/>
                <w:kern w:val="0"/>
              </w:rPr>
            </w:pPr>
            <w:r>
              <w:rPr>
                <w:rFonts w:hint="eastAsia" w:ascii="宋体" w:hAnsi="宋体" w:eastAsia="宋体" w:cs="宋体"/>
                <w:kern w:val="0"/>
              </w:rPr>
              <w:t>平台需为第三方软件提供相关接口。</w:t>
            </w:r>
          </w:p>
          <w:p>
            <w:pPr>
              <w:pStyle w:val="8"/>
              <w:snapToGrid w:val="0"/>
              <w:spacing w:line="240" w:lineRule="auto"/>
              <w:jc w:val="left"/>
              <w:rPr>
                <w:rFonts w:ascii="宋体" w:hAnsi="宋体" w:eastAsia="宋体" w:cs="宋体"/>
                <w:sz w:val="21"/>
                <w:szCs w:val="21"/>
              </w:rPr>
            </w:pPr>
            <w:r>
              <w:rPr>
                <w:rFonts w:hint="eastAsia" w:ascii="宋体" w:hAnsi="宋体" w:eastAsia="宋体" w:cs="宋体"/>
                <w:sz w:val="21"/>
                <w:szCs w:val="21"/>
              </w:rPr>
              <w:t>2、平台功能</w:t>
            </w:r>
          </w:p>
          <w:p>
            <w:pPr>
              <w:snapToGrid w:val="0"/>
              <w:ind w:firstLine="420" w:firstLineChars="200"/>
              <w:rPr>
                <w:rFonts w:ascii="宋体" w:hAnsi="宋体" w:cs="宋体"/>
              </w:rPr>
            </w:pPr>
            <w:r>
              <w:rPr>
                <w:rFonts w:hint="eastAsia" w:ascii="宋体" w:hAnsi="宋体" w:cs="宋体"/>
              </w:rPr>
              <w:t>学生端功能：安全微课学习、学习进度、在线考试、电子确认书、通知公告、虚拟安全体验馆、个人安全感指数测评、安全知识PK游戏、失物招领、安全隐患随手拍、怎么办、应急联络、个人信息、在线课服、调查问卷、电子学档等。</w:t>
            </w:r>
          </w:p>
          <w:p>
            <w:pPr>
              <w:snapToGrid w:val="0"/>
              <w:ind w:firstLine="420" w:firstLineChars="200"/>
              <w:rPr>
                <w:rFonts w:ascii="宋体" w:hAnsi="宋体" w:cs="宋体"/>
              </w:rPr>
            </w:pPr>
            <w:r>
              <w:rPr>
                <w:rFonts w:hint="eastAsia" w:ascii="宋体" w:hAnsi="宋体" w:cs="宋体"/>
              </w:rPr>
              <w:t>管理端功能：查看学习项目计划、查看学习进度、查看数据统计、安全知识竞赛管理、电子确认书管理、通知公告管理、失物招领管理、安全隐患随手拍管理、调查问卷管理、应急联络管理等。</w:t>
            </w:r>
          </w:p>
          <w:p>
            <w:pPr>
              <w:snapToGrid w:val="0"/>
              <w:rPr>
                <w:b/>
                <w:bCs/>
                <w:highlight w:val="cyan"/>
              </w:rPr>
            </w:pPr>
            <w:bookmarkStart w:id="12" w:name="_Toc96419981"/>
            <w:r>
              <w:rPr>
                <w:rFonts w:hint="eastAsia"/>
                <w:b/>
                <w:bCs/>
              </w:rPr>
              <w:t>三、安全教育学习支持服务</w:t>
            </w:r>
            <w:bookmarkEnd w:id="12"/>
            <w:r>
              <w:rPr>
                <w:rFonts w:hint="eastAsia"/>
                <w:b/>
                <w:bCs/>
              </w:rPr>
              <w:t>要求</w:t>
            </w:r>
          </w:p>
          <w:p>
            <w:pPr>
              <w:pStyle w:val="8"/>
              <w:snapToGrid w:val="0"/>
              <w:spacing w:line="240" w:lineRule="auto"/>
              <w:jc w:val="left"/>
              <w:rPr>
                <w:rFonts w:ascii="宋体" w:hAnsi="宋体" w:eastAsia="宋体" w:cs="宋体"/>
                <w:sz w:val="21"/>
                <w:szCs w:val="21"/>
              </w:rPr>
            </w:pPr>
            <w:bookmarkStart w:id="13" w:name="_Toc96419983"/>
            <w:bookmarkStart w:id="14" w:name="_Toc96419985"/>
            <w:r>
              <w:rPr>
                <w:rFonts w:hint="eastAsia" w:ascii="宋体" w:hAnsi="宋体" w:eastAsia="宋体" w:cs="宋体"/>
                <w:sz w:val="21"/>
                <w:szCs w:val="21"/>
              </w:rPr>
              <w:t>1、日常学习支持服务</w:t>
            </w:r>
            <w:bookmarkEnd w:id="13"/>
          </w:p>
          <w:p>
            <w:pPr>
              <w:snapToGrid w:val="0"/>
              <w:ind w:firstLine="420" w:firstLineChars="200"/>
              <w:rPr>
                <w:rFonts w:ascii="宋体" w:hAnsi="宋体" w:cs="宋体"/>
              </w:rPr>
            </w:pPr>
            <w:r>
              <w:rPr>
                <w:rFonts w:hint="eastAsia" w:ascii="宋体" w:hAnsi="宋体" w:cs="宋体"/>
              </w:rPr>
              <w:t>（1）开课前，发送学习平台使用说明，图例详解如何登录、学习、测试等；</w:t>
            </w:r>
          </w:p>
          <w:p>
            <w:pPr>
              <w:snapToGrid w:val="0"/>
              <w:ind w:firstLine="420" w:firstLineChars="200"/>
              <w:rPr>
                <w:rFonts w:ascii="宋体" w:hAnsi="宋体" w:cs="宋体"/>
              </w:rPr>
            </w:pPr>
            <w:r>
              <w:rPr>
                <w:rFonts w:hint="eastAsia" w:ascii="宋体" w:hAnsi="宋体" w:cs="宋体"/>
              </w:rPr>
              <w:t>（2）按照学校教学计划，导入学生名单，开通学习账号，开通微课学习、测试等功能，保障学校教学活动正常运行；</w:t>
            </w:r>
          </w:p>
          <w:p>
            <w:pPr>
              <w:snapToGrid w:val="0"/>
              <w:ind w:firstLine="420" w:firstLineChars="200"/>
              <w:rPr>
                <w:rFonts w:ascii="宋体" w:hAnsi="宋体" w:cs="宋体"/>
              </w:rPr>
            </w:pPr>
            <w:r>
              <w:rPr>
                <w:rFonts w:hint="eastAsia" w:ascii="宋体" w:hAnsi="宋体" w:cs="宋体"/>
              </w:rPr>
              <w:t>（3）在微课学习平台内推送开课通知；</w:t>
            </w:r>
          </w:p>
          <w:p>
            <w:pPr>
              <w:snapToGrid w:val="0"/>
              <w:ind w:firstLine="420" w:firstLineChars="200"/>
              <w:rPr>
                <w:rFonts w:ascii="宋体" w:hAnsi="宋体" w:cs="宋体"/>
              </w:rPr>
            </w:pPr>
            <w:r>
              <w:rPr>
                <w:rFonts w:hint="eastAsia" w:ascii="宋体" w:hAnsi="宋体" w:cs="宋体"/>
              </w:rPr>
              <w:t>（4）开通安全服务平台的后台“院校管理员”账号，方便院校对接老师导出成绩、实时查看学习进度、发送通知、调查问卷；</w:t>
            </w:r>
          </w:p>
          <w:p>
            <w:pPr>
              <w:snapToGrid w:val="0"/>
              <w:ind w:firstLine="420" w:firstLineChars="200"/>
              <w:rPr>
                <w:rFonts w:ascii="宋体" w:hAnsi="宋体" w:cs="宋体"/>
              </w:rPr>
            </w:pPr>
            <w:r>
              <w:rPr>
                <w:rFonts w:hint="eastAsia" w:ascii="宋体" w:hAnsi="宋体" w:cs="宋体"/>
              </w:rPr>
              <w:t>（5）在微课学习平台推送学校提供的紧急通知、警情通报等；</w:t>
            </w:r>
          </w:p>
          <w:p>
            <w:pPr>
              <w:snapToGrid w:val="0"/>
              <w:ind w:firstLine="420" w:firstLineChars="200"/>
              <w:rPr>
                <w:rFonts w:ascii="宋体" w:hAnsi="宋体" w:cs="宋体"/>
              </w:rPr>
            </w:pPr>
            <w:r>
              <w:rPr>
                <w:rFonts w:hint="eastAsia" w:ascii="宋体" w:hAnsi="宋体" w:cs="宋体"/>
              </w:rPr>
              <w:t>（6）根据学校要求，编写、推送调查问卷（学习效果问卷）等；根据学校需要，定期反馈学习情况进度统计表；</w:t>
            </w:r>
          </w:p>
          <w:p>
            <w:pPr>
              <w:snapToGrid w:val="0"/>
              <w:ind w:firstLine="420" w:firstLineChars="200"/>
              <w:rPr>
                <w:rFonts w:ascii="宋体" w:hAnsi="宋体" w:cs="宋体"/>
              </w:rPr>
            </w:pPr>
            <w:r>
              <w:rPr>
                <w:rFonts w:hint="eastAsia" w:ascii="宋体" w:hAnsi="宋体" w:cs="宋体"/>
              </w:rPr>
              <w:t>（7）学习中期或末期，征询学校负责人对安全微课的整体使用和服务的情况及建议，收集学校个性化学习支持服务需求，评估可行性并做出实施计划，以便更好的提供学校个性化服务；</w:t>
            </w:r>
          </w:p>
          <w:p>
            <w:pPr>
              <w:snapToGrid w:val="0"/>
              <w:ind w:firstLine="420" w:firstLineChars="200"/>
              <w:rPr>
                <w:rFonts w:ascii="宋体" w:hAnsi="宋体" w:cs="宋体"/>
              </w:rPr>
            </w:pPr>
            <w:r>
              <w:rPr>
                <w:rFonts w:hint="eastAsia" w:ascii="宋体" w:hAnsi="宋体" w:cs="宋体"/>
              </w:rPr>
              <w:t>（8）根据学生学习进度，通过消息推送或院校负责人督促，不定时提醒学生学习课程、参加考试、参与调查问卷等学习活动。</w:t>
            </w:r>
          </w:p>
          <w:p>
            <w:pPr>
              <w:pStyle w:val="8"/>
              <w:snapToGrid w:val="0"/>
              <w:spacing w:line="240" w:lineRule="auto"/>
              <w:jc w:val="left"/>
              <w:rPr>
                <w:rFonts w:ascii="宋体" w:hAnsi="宋体" w:eastAsia="宋体" w:cs="宋体"/>
                <w:sz w:val="21"/>
                <w:szCs w:val="21"/>
              </w:rPr>
            </w:pPr>
            <w:bookmarkStart w:id="15" w:name="_Toc96419984"/>
            <w:r>
              <w:rPr>
                <w:rFonts w:hint="eastAsia" w:ascii="宋体" w:hAnsi="宋体" w:eastAsia="宋体" w:cs="宋体"/>
                <w:sz w:val="21"/>
                <w:szCs w:val="21"/>
              </w:rPr>
              <w:t>2、学习数据报告分析</w:t>
            </w:r>
            <w:bookmarkEnd w:id="15"/>
          </w:p>
          <w:p>
            <w:pPr>
              <w:snapToGrid w:val="0"/>
              <w:ind w:firstLine="420" w:firstLineChars="200"/>
              <w:rPr>
                <w:rFonts w:ascii="宋体" w:hAnsi="宋体" w:cs="宋体"/>
              </w:rPr>
            </w:pPr>
            <w:r>
              <w:rPr>
                <w:rFonts w:hint="eastAsia" w:ascii="宋体" w:hAnsi="宋体" w:cs="宋体"/>
              </w:rPr>
              <w:t>（1）结课后，出具学生成绩单和结课分析报告，从多角度分析学生学习行为轨迹，根据学生考试情况，为学校相关部门下一步的安全工作提出参考意见；</w:t>
            </w:r>
          </w:p>
          <w:p>
            <w:pPr>
              <w:snapToGrid w:val="0"/>
              <w:ind w:firstLine="420" w:firstLineChars="200"/>
              <w:rPr>
                <w:rFonts w:ascii="宋体" w:hAnsi="宋体" w:cs="宋体"/>
              </w:rPr>
            </w:pPr>
            <w:r>
              <w:rPr>
                <w:rFonts w:hint="eastAsia" w:ascii="宋体" w:hAnsi="宋体" w:cs="宋体"/>
              </w:rPr>
              <w:t>（2）协助学校收集、整理学生对于安全知识学习所反馈的意见或感想。</w:t>
            </w:r>
            <w:bookmarkEnd w:id="9"/>
            <w:bookmarkEnd w:id="10"/>
            <w:bookmarkEnd w:id="11"/>
            <w:bookmarkEnd w:id="14"/>
          </w:p>
          <w:p>
            <w:pPr>
              <w:snapToGrid w:val="0"/>
              <w:ind w:firstLine="420" w:firstLineChars="200"/>
              <w:rPr>
                <w:rFonts w:ascii="宋体" w:hAnsi="宋体" w:cs="宋体"/>
              </w:rPr>
            </w:pPr>
            <w:r>
              <w:rPr>
                <w:rFonts w:hint="eastAsia" w:ascii="宋体" w:hAnsi="宋体" w:cs="宋体"/>
              </w:rPr>
              <w:t>（3）提供“特关”服务。可从学生登录学习考试的学习行为数据筛选出需要特别关注的学生名单，抓住“少数关键”，提高工作效率和有效性。</w:t>
            </w:r>
          </w:p>
          <w:p>
            <w:pPr>
              <w:jc w:val="center"/>
              <w:rPr>
                <w:rFonts w:ascii="宋体" w:hAnsi="宋体" w:eastAsia="宋体" w:cs="宋体"/>
                <w:b/>
                <w:bCs/>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7" w:type="dxa"/>
            <w:vMerge w:val="restart"/>
            <w:vAlign w:val="center"/>
          </w:tcPr>
          <w:p>
            <w:pPr>
              <w:jc w:val="center"/>
              <w:rPr>
                <w:rFonts w:ascii="宋体" w:hAnsi="宋体" w:eastAsia="宋体" w:cs="宋体"/>
                <w:b/>
                <w:bCs/>
                <w:szCs w:val="21"/>
              </w:rPr>
            </w:pPr>
            <w:r>
              <w:rPr>
                <w:rFonts w:hint="eastAsia" w:ascii="宋体" w:hAnsi="宋体" w:eastAsia="宋体" w:cs="宋体"/>
                <w:b/>
                <w:bCs/>
                <w:szCs w:val="21"/>
              </w:rPr>
              <w:t>商务要求</w:t>
            </w:r>
          </w:p>
        </w:tc>
        <w:tc>
          <w:tcPr>
            <w:tcW w:w="2588" w:type="dxa"/>
            <w:gridSpan w:val="2"/>
            <w:vAlign w:val="center"/>
          </w:tcPr>
          <w:p>
            <w:pPr>
              <w:jc w:val="left"/>
              <w:rPr>
                <w:rFonts w:ascii="宋体" w:hAnsi="宋体" w:eastAsia="宋体" w:cs="宋体"/>
                <w:szCs w:val="21"/>
              </w:rPr>
            </w:pPr>
            <w:r>
              <w:rPr>
                <w:rFonts w:hint="eastAsia" w:ascii="宋体" w:hAnsi="宋体" w:eastAsia="宋体" w:cs="宋体"/>
                <w:b/>
                <w:bCs/>
                <w:szCs w:val="21"/>
              </w:rPr>
              <w:t>完成时间及地点</w:t>
            </w:r>
          </w:p>
        </w:tc>
        <w:tc>
          <w:tcPr>
            <w:tcW w:w="5109" w:type="dxa"/>
            <w:gridSpan w:val="3"/>
            <w:vAlign w:val="center"/>
          </w:tcPr>
          <w:p>
            <w:pPr>
              <w:spacing w:before="156" w:beforeLines="50" w:after="156" w:afterLines="50" w:line="240" w:lineRule="auto"/>
              <w:jc w:val="left"/>
              <w:rPr>
                <w:rFonts w:hAnsi="宋体"/>
                <w:szCs w:val="21"/>
              </w:rPr>
            </w:pPr>
            <w:r>
              <w:rPr>
                <w:rFonts w:hint="eastAsia" w:hAnsi="宋体"/>
                <w:szCs w:val="21"/>
              </w:rPr>
              <w:t>1．交货期：合同签订后 7天内完成</w:t>
            </w:r>
          </w:p>
          <w:p>
            <w:pPr>
              <w:spacing w:before="156" w:beforeLines="50" w:after="156" w:afterLines="50" w:line="240" w:lineRule="auto"/>
              <w:jc w:val="left"/>
              <w:rPr>
                <w:rStyle w:val="13"/>
                <w:rFonts w:ascii="宋体" w:hAnsi="宋体"/>
                <w:color w:val="000000"/>
                <w:szCs w:val="21"/>
              </w:rPr>
            </w:pPr>
            <w:r>
              <w:rPr>
                <w:rFonts w:hint="eastAsia" w:hAnsi="宋体"/>
                <w:szCs w:val="21"/>
              </w:rPr>
              <w:t>2．交货地点：上海财经大学浙江学院校内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7" w:type="dxa"/>
            <w:vMerge w:val="continue"/>
            <w:vAlign w:val="center"/>
          </w:tcPr>
          <w:p>
            <w:pPr>
              <w:jc w:val="center"/>
              <w:rPr>
                <w:rFonts w:ascii="宋体" w:hAnsi="宋体" w:eastAsia="宋体" w:cs="宋体"/>
                <w:b/>
                <w:bCs/>
                <w:szCs w:val="21"/>
              </w:rPr>
            </w:pPr>
          </w:p>
        </w:tc>
        <w:tc>
          <w:tcPr>
            <w:tcW w:w="2588" w:type="dxa"/>
            <w:gridSpan w:val="2"/>
            <w:vAlign w:val="center"/>
          </w:tcPr>
          <w:p>
            <w:pPr>
              <w:jc w:val="left"/>
              <w:rPr>
                <w:rFonts w:ascii="宋体" w:hAnsi="宋体" w:eastAsia="宋体" w:cs="宋体"/>
                <w:szCs w:val="21"/>
              </w:rPr>
            </w:pPr>
            <w:r>
              <w:rPr>
                <w:rFonts w:hint="eastAsia" w:ascii="宋体" w:hAnsi="宋体" w:eastAsia="宋体" w:cs="宋体"/>
                <w:b/>
                <w:bCs/>
                <w:szCs w:val="21"/>
              </w:rPr>
              <w:t>付款方式</w:t>
            </w:r>
          </w:p>
        </w:tc>
        <w:tc>
          <w:tcPr>
            <w:tcW w:w="5109" w:type="dxa"/>
            <w:gridSpan w:val="3"/>
            <w:vAlign w:val="center"/>
          </w:tcPr>
          <w:p>
            <w:pPr>
              <w:spacing w:before="156" w:beforeLines="50" w:after="156" w:afterLines="50" w:line="400" w:lineRule="exact"/>
              <w:jc w:val="left"/>
            </w:pPr>
            <w:r>
              <w:rPr>
                <w:rFonts w:hint="eastAsia"/>
              </w:rPr>
              <w:t>验收合格后，供应商开具正式发票7个工作日内付款。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1" w:hRule="atLeast"/>
        </w:trPr>
        <w:tc>
          <w:tcPr>
            <w:tcW w:w="1187" w:type="dxa"/>
            <w:vMerge w:val="continue"/>
            <w:vAlign w:val="center"/>
          </w:tcPr>
          <w:p>
            <w:pPr>
              <w:jc w:val="center"/>
              <w:rPr>
                <w:rFonts w:ascii="宋体" w:hAnsi="宋体" w:eastAsia="宋体" w:cs="宋体"/>
                <w:b/>
                <w:bCs/>
                <w:szCs w:val="21"/>
              </w:rPr>
            </w:pPr>
          </w:p>
        </w:tc>
        <w:tc>
          <w:tcPr>
            <w:tcW w:w="2588" w:type="dxa"/>
            <w:gridSpan w:val="2"/>
            <w:vAlign w:val="center"/>
          </w:tcPr>
          <w:p>
            <w:pPr>
              <w:jc w:val="left"/>
              <w:rPr>
                <w:rFonts w:ascii="宋体" w:hAnsi="宋体" w:eastAsia="宋体" w:cs="宋体"/>
                <w:b/>
                <w:bCs/>
                <w:szCs w:val="21"/>
              </w:rPr>
            </w:pPr>
            <w:r>
              <w:rPr>
                <w:rFonts w:hint="eastAsia" w:ascii="宋体" w:hAnsi="宋体" w:eastAsia="宋体" w:cs="宋体"/>
                <w:b/>
                <w:bCs/>
                <w:szCs w:val="21"/>
              </w:rPr>
              <w:t>履约保证金要求</w:t>
            </w:r>
          </w:p>
        </w:tc>
        <w:tc>
          <w:tcPr>
            <w:tcW w:w="5109" w:type="dxa"/>
            <w:gridSpan w:val="3"/>
            <w:vAlign w:val="center"/>
          </w:tcPr>
          <w:p>
            <w:pPr>
              <w:spacing w:before="156" w:beforeLines="50" w:after="156" w:afterLines="50" w:line="400" w:lineRule="exact"/>
              <w:jc w:val="left"/>
              <w:rPr>
                <w:rFonts w:hint="eastAsia"/>
              </w:rPr>
            </w:pPr>
            <w:r>
              <w:rPr>
                <w:rFonts w:hint="eastAsia" w:hAnsi="宋体"/>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5" w:hRule="atLeast"/>
        </w:trPr>
        <w:tc>
          <w:tcPr>
            <w:tcW w:w="1187" w:type="dxa"/>
            <w:vMerge w:val="continue"/>
            <w:vAlign w:val="center"/>
          </w:tcPr>
          <w:p>
            <w:pPr>
              <w:jc w:val="center"/>
              <w:rPr>
                <w:rFonts w:ascii="宋体" w:hAnsi="宋体" w:eastAsia="宋体" w:cs="宋体"/>
                <w:b/>
                <w:bCs/>
                <w:szCs w:val="21"/>
              </w:rPr>
            </w:pPr>
          </w:p>
        </w:tc>
        <w:tc>
          <w:tcPr>
            <w:tcW w:w="2588" w:type="dxa"/>
            <w:gridSpan w:val="2"/>
            <w:vAlign w:val="center"/>
          </w:tcPr>
          <w:p>
            <w:pPr>
              <w:jc w:val="left"/>
              <w:rPr>
                <w:rFonts w:ascii="宋体" w:hAnsi="宋体" w:eastAsia="宋体" w:cs="宋体"/>
                <w:b/>
                <w:bCs/>
                <w:szCs w:val="21"/>
              </w:rPr>
            </w:pPr>
            <w:r>
              <w:rPr>
                <w:rFonts w:hint="eastAsia" w:ascii="宋体" w:hAnsi="宋体" w:eastAsia="宋体" w:cs="宋体"/>
                <w:b/>
                <w:bCs/>
                <w:szCs w:val="21"/>
              </w:rPr>
              <w:t>质保要求</w:t>
            </w:r>
          </w:p>
        </w:tc>
        <w:tc>
          <w:tcPr>
            <w:tcW w:w="5109" w:type="dxa"/>
            <w:gridSpan w:val="3"/>
            <w:vAlign w:val="center"/>
          </w:tcPr>
          <w:p>
            <w:pPr>
              <w:spacing w:before="156" w:beforeLines="50" w:after="156" w:afterLines="50" w:line="400" w:lineRule="exact"/>
              <w:jc w:val="left"/>
            </w:pPr>
            <w:r>
              <w:rPr>
                <w:rFonts w:hint="eastAsia"/>
              </w:rPr>
              <w:t>一年质保期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7" w:hRule="atLeast"/>
        </w:trPr>
        <w:tc>
          <w:tcPr>
            <w:tcW w:w="1187" w:type="dxa"/>
            <w:vMerge w:val="continue"/>
            <w:vAlign w:val="center"/>
          </w:tcPr>
          <w:p>
            <w:pPr>
              <w:jc w:val="center"/>
              <w:rPr>
                <w:rFonts w:ascii="宋体" w:hAnsi="宋体" w:eastAsia="宋体" w:cs="宋体"/>
                <w:b/>
                <w:bCs/>
                <w:szCs w:val="21"/>
              </w:rPr>
            </w:pPr>
          </w:p>
        </w:tc>
        <w:tc>
          <w:tcPr>
            <w:tcW w:w="2588" w:type="dxa"/>
            <w:gridSpan w:val="2"/>
            <w:vAlign w:val="center"/>
          </w:tcPr>
          <w:p>
            <w:pPr>
              <w:jc w:val="left"/>
              <w:rPr>
                <w:rFonts w:ascii="宋体" w:hAnsi="宋体" w:eastAsia="宋体" w:cs="宋体"/>
                <w:b/>
                <w:bCs/>
                <w:szCs w:val="21"/>
              </w:rPr>
            </w:pPr>
            <w:bookmarkStart w:id="16" w:name="_GoBack"/>
            <w:r>
              <w:rPr>
                <w:rFonts w:hint="eastAsia" w:ascii="宋体" w:hAnsi="宋体" w:eastAsia="宋体" w:cs="宋体"/>
                <w:b/>
                <w:bCs/>
                <w:szCs w:val="21"/>
              </w:rPr>
              <w:t>售后服务要求</w:t>
            </w:r>
            <w:bookmarkEnd w:id="16"/>
          </w:p>
        </w:tc>
        <w:tc>
          <w:tcPr>
            <w:tcW w:w="5109" w:type="dxa"/>
            <w:gridSpan w:val="3"/>
            <w:vAlign w:val="center"/>
          </w:tcPr>
          <w:p>
            <w:pPr>
              <w:spacing w:before="156" w:beforeLines="50" w:after="156" w:afterLines="50" w:line="400" w:lineRule="exact"/>
              <w:jc w:val="left"/>
              <w:rPr>
                <w:rFonts w:hAnsi="宋体"/>
                <w:szCs w:val="21"/>
              </w:rPr>
            </w:pPr>
            <w:r>
              <w:rPr>
                <w:rFonts w:hint="eastAsia" w:hAnsi="宋体"/>
                <w:szCs w:val="21"/>
              </w:rPr>
              <w:t>提供7x8小时在线支持服务。软件运行出现故障时，在接到通知后二小时做出响应，二十四小时内免费给予技术支持或到达现场维修排除故障。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05" w:hRule="atLeast"/>
        </w:trPr>
        <w:tc>
          <w:tcPr>
            <w:tcW w:w="1187" w:type="dxa"/>
            <w:vMerge w:val="continue"/>
            <w:vAlign w:val="center"/>
          </w:tcPr>
          <w:p>
            <w:pPr>
              <w:jc w:val="center"/>
              <w:rPr>
                <w:rFonts w:ascii="宋体" w:hAnsi="宋体" w:eastAsia="宋体" w:cs="宋体"/>
                <w:b/>
                <w:bCs/>
                <w:szCs w:val="21"/>
              </w:rPr>
            </w:pPr>
          </w:p>
        </w:tc>
        <w:tc>
          <w:tcPr>
            <w:tcW w:w="2588" w:type="dxa"/>
            <w:gridSpan w:val="2"/>
            <w:vAlign w:val="center"/>
          </w:tcPr>
          <w:p>
            <w:pPr>
              <w:spacing w:before="156" w:beforeLines="50" w:after="156" w:afterLines="50" w:line="400" w:lineRule="exact"/>
              <w:rPr>
                <w:rFonts w:ascii="宋体" w:hAnsi="宋体" w:eastAsia="宋体" w:cs="宋体"/>
                <w:b/>
                <w:bCs/>
                <w:szCs w:val="21"/>
              </w:rPr>
            </w:pPr>
            <w:r>
              <w:rPr>
                <w:rFonts w:hint="eastAsia" w:ascii="宋体" w:hAnsi="宋体" w:eastAsia="宋体" w:cs="宋体"/>
                <w:b/>
                <w:bCs/>
                <w:szCs w:val="21"/>
              </w:rPr>
              <w:t>违约责任</w:t>
            </w:r>
          </w:p>
        </w:tc>
        <w:tc>
          <w:tcPr>
            <w:tcW w:w="5109" w:type="dxa"/>
            <w:gridSpan w:val="3"/>
            <w:vAlign w:val="center"/>
          </w:tcPr>
          <w:p>
            <w:pPr>
              <w:spacing w:before="156" w:beforeLines="50" w:after="156" w:afterLines="50"/>
              <w:ind w:firstLine="420" w:firstLineChars="200"/>
              <w:jc w:val="left"/>
              <w:rPr>
                <w:rFonts w:hAnsi="宋体"/>
                <w:szCs w:val="21"/>
              </w:rPr>
            </w:pPr>
            <w:r>
              <w:rPr>
                <w:rFonts w:hint="eastAsia" w:hAnsi="宋体"/>
                <w:szCs w:val="21"/>
              </w:rPr>
              <w:t>乙方保证本次所提供的移动学习平台及学习资源是其自主开发或已获得合法的授权。若甲方在使用过程中受到第三方投诉侵犯版权事宜，乙方应当承担全部责任，如因此给甲方造成损失，则该损失（包括但不限于甲方支付的赔偿金、诉讼费、律师代理费、差旅费等一切直接和间接损失）由乙方承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5" w:hRule="atLeast"/>
        </w:trPr>
        <w:tc>
          <w:tcPr>
            <w:tcW w:w="8884" w:type="dxa"/>
            <w:gridSpan w:val="6"/>
            <w:vAlign w:val="center"/>
          </w:tcPr>
          <w:p>
            <w:pPr>
              <w:jc w:val="center"/>
              <w:rPr>
                <w:rFonts w:ascii="宋体" w:hAnsi="宋体" w:eastAsia="宋体" w:cs="宋体"/>
                <w:szCs w:val="21"/>
              </w:rPr>
            </w:pPr>
            <w:r>
              <w:rPr>
                <w:rFonts w:hint="eastAsia"/>
                <w:b/>
                <w:bCs/>
                <w:sz w:val="32"/>
                <w:szCs w:val="36"/>
              </w:rPr>
              <w:t>采 购 实 施 计 划 部 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1187" w:type="dxa"/>
            <w:vAlign w:val="center"/>
          </w:tcPr>
          <w:p>
            <w:pPr>
              <w:rPr>
                <w:rFonts w:ascii="宋体" w:hAnsi="宋体" w:eastAsia="宋体" w:cs="宋体"/>
                <w:b/>
                <w:bCs/>
                <w:szCs w:val="21"/>
              </w:rPr>
            </w:pPr>
            <w:r>
              <w:rPr>
                <w:rFonts w:hint="eastAsia" w:ascii="宋体" w:hAnsi="宋体" w:eastAsia="宋体" w:cs="宋体"/>
                <w:b/>
                <w:bCs/>
                <w:szCs w:val="21"/>
              </w:rPr>
              <w:t>投标供应商资格要求</w:t>
            </w:r>
          </w:p>
        </w:tc>
        <w:tc>
          <w:tcPr>
            <w:tcW w:w="7697" w:type="dxa"/>
            <w:gridSpan w:val="5"/>
          </w:tcPr>
          <w:p>
            <w:pPr>
              <w:rPr>
                <w:rFonts w:ascii="宋体" w:hAnsi="宋体" w:eastAsia="宋体" w:cs="宋体"/>
                <w:szCs w:val="21"/>
              </w:rPr>
            </w:pPr>
            <w:r>
              <w:rPr>
                <w:rFonts w:ascii="宋体" w:hAnsi="宋体" w:eastAsia="宋体" w:cs="宋体"/>
                <w:szCs w:val="21"/>
              </w:rPr>
              <w:t>（1）符合《中华人民共和国政府采购法》第二十二条供应商应当具备的条件和浙财采监【2013】24号《关于规范政府采购供应商资格设定及资格审查的通知》第六条规定。</w:t>
            </w:r>
          </w:p>
          <w:p>
            <w:pPr>
              <w:rPr>
                <w:rFonts w:ascii="宋体" w:hAnsi="宋体" w:eastAsia="宋体" w:cs="宋体"/>
                <w:szCs w:val="21"/>
              </w:rPr>
            </w:pPr>
            <w:r>
              <w:rPr>
                <w:rFonts w:ascii="宋体" w:hAnsi="宋体" w:eastAsia="宋体" w:cs="宋体"/>
                <w:szCs w:val="21"/>
              </w:rPr>
              <w:t>（2）投标人未被列入失信被执行人名单、重大税收违法案件当事人名单、政府采购严重违法失信行为记录名单，信用信息以信用中国网站（www.creditchina.gov.cn）、中国政府采购网（www.ccgp.gov.cn）公布为准；</w:t>
            </w:r>
          </w:p>
          <w:p>
            <w:pPr>
              <w:rPr>
                <w:rFonts w:ascii="宋体" w:hAnsi="宋体" w:eastAsia="宋体" w:cs="宋体"/>
                <w:szCs w:val="21"/>
              </w:rPr>
            </w:pPr>
            <w:r>
              <w:rPr>
                <w:rFonts w:ascii="宋体" w:hAnsi="宋体" w:eastAsia="宋体" w:cs="宋体"/>
                <w:szCs w:val="21"/>
              </w:rPr>
              <w:t>（3）单位负责人为同一人或者存在直接控股、管理关系的不同供应商，不得参加同一合同项下的政府采购活动；</w:t>
            </w:r>
          </w:p>
          <w:p>
            <w:pPr>
              <w:rPr>
                <w:rFonts w:ascii="宋体" w:hAnsi="宋体" w:eastAsia="宋体" w:cs="宋体"/>
                <w:szCs w:val="21"/>
              </w:rPr>
            </w:pPr>
            <w:r>
              <w:rPr>
                <w:rFonts w:ascii="宋体" w:hAnsi="宋体" w:eastAsia="宋体" w:cs="宋体"/>
                <w:szCs w:val="21"/>
              </w:rPr>
              <w:t>（4）法律、行政法规规定的其他条件。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364" w:hRule="atLeast"/>
        </w:trPr>
        <w:tc>
          <w:tcPr>
            <w:tcW w:w="1187" w:type="dxa"/>
            <w:vAlign w:val="center"/>
          </w:tcPr>
          <w:p>
            <w:pPr>
              <w:jc w:val="center"/>
              <w:rPr>
                <w:rFonts w:ascii="宋体" w:hAnsi="宋体" w:eastAsia="宋体" w:cs="宋体"/>
                <w:szCs w:val="21"/>
              </w:rPr>
            </w:pPr>
            <w:r>
              <w:rPr>
                <w:rFonts w:hint="eastAsia" w:ascii="宋体" w:hAnsi="宋体" w:eastAsia="宋体" w:cs="宋体"/>
                <w:b/>
                <w:bCs/>
                <w:szCs w:val="21"/>
              </w:rPr>
              <w:t>合同履约管理及验收计划</w:t>
            </w:r>
          </w:p>
        </w:tc>
        <w:tc>
          <w:tcPr>
            <w:tcW w:w="7697" w:type="dxa"/>
            <w:gridSpan w:val="5"/>
          </w:tcPr>
          <w:p>
            <w:pPr>
              <w:rPr>
                <w:rFonts w:ascii="宋体" w:hAnsi="宋体" w:eastAsia="宋体" w:cs="宋体"/>
                <w:szCs w:val="21"/>
              </w:rPr>
            </w:pPr>
            <w:r>
              <w:rPr>
                <w:rFonts w:hint="eastAsia" w:ascii="宋体" w:hAnsi="宋体" w:eastAsia="宋体" w:cs="宋体"/>
                <w:szCs w:val="21"/>
              </w:rPr>
              <w:t>（1.服务类项目有续签需求的必须附考核细则及定制合同履约台账；2.货物类项目建议附收货、安装、调试等计划；3.工程类项目建议附施工监督及竣工验收计划。）</w:t>
            </w:r>
          </w:p>
          <w:p>
            <w:pPr>
              <w:rPr>
                <w:rFonts w:asciiTheme="minorEastAsia" w:hAnsiTheme="minorEastAsia"/>
                <w:szCs w:val="21"/>
                <w:u w:val="single"/>
              </w:rPr>
            </w:pPr>
          </w:p>
          <w:p>
            <w:pPr>
              <w:ind w:firstLine="420" w:firstLineChars="200"/>
              <w:rPr>
                <w:rFonts w:asciiTheme="minorEastAsia" w:hAnsiTheme="minorEastAsia"/>
                <w:szCs w:val="21"/>
              </w:rPr>
            </w:pPr>
            <w:r>
              <w:rPr>
                <w:rFonts w:hint="eastAsia" w:asciiTheme="minorEastAsia" w:hAnsiTheme="minorEastAsia"/>
                <w:szCs w:val="21"/>
              </w:rPr>
              <w:t>本项目所有学生可以正常登录学习即为验收合格。</w:t>
            </w:r>
          </w:p>
          <w:p>
            <w:pPr>
              <w:ind w:firstLine="420" w:firstLineChars="200"/>
              <w:rPr>
                <w:rFonts w:ascii="宋体" w:hAnsi="宋体" w:eastAsia="宋体" w:cs="宋体"/>
                <w:szCs w:val="21"/>
              </w:rPr>
            </w:pPr>
            <w:r>
              <w:rPr>
                <w:rFonts w:hint="eastAsia" w:ascii="宋体" w:hAnsi="宋体" w:eastAsia="宋体" w:cs="宋体"/>
                <w:szCs w:val="21"/>
              </w:rPr>
              <w:t>安全教育服务属于可以延续的服务,甲方对乙方本次安全教育服务满意，该项安全教育服务可延续下一级新生，无须另签新的合同，按实际报到人数开票付款。</w:t>
            </w:r>
          </w:p>
          <w:p>
            <w:pPr>
              <w:ind w:firstLine="420" w:firstLineChars="200"/>
              <w:rPr>
                <w:rFonts w:ascii="宋体" w:hAnsi="宋体" w:eastAsia="宋体" w:cs="宋体"/>
                <w:szCs w:val="21"/>
              </w:rPr>
            </w:pPr>
            <w:r>
              <w:rPr>
                <w:rFonts w:hint="eastAsia" w:ascii="宋体" w:hAnsi="宋体" w:eastAsia="宋体" w:cs="宋体"/>
                <w:szCs w:val="21"/>
              </w:rPr>
              <w:t>考核细则：结课服务报告</w:t>
            </w:r>
          </w:p>
        </w:tc>
      </w:tr>
    </w:tbl>
    <w:p>
      <w:pPr>
        <w:rPr>
          <w:rFonts w:ascii="黑体" w:hAnsi="黑体" w:eastAsia="黑体" w:cs="黑体"/>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doNotDisplayPageBoundaries w:val="1"/>
  <w:embedSystemFonts/>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71E21D79"/>
    <w:rsid w:val="00004E2F"/>
    <w:rsid w:val="00014640"/>
    <w:rsid w:val="000270EB"/>
    <w:rsid w:val="00062815"/>
    <w:rsid w:val="000C45B2"/>
    <w:rsid w:val="00175148"/>
    <w:rsid w:val="0019734A"/>
    <w:rsid w:val="001C1AF3"/>
    <w:rsid w:val="002A2BE3"/>
    <w:rsid w:val="002E2C58"/>
    <w:rsid w:val="0033467E"/>
    <w:rsid w:val="00411D96"/>
    <w:rsid w:val="004248A3"/>
    <w:rsid w:val="00432483"/>
    <w:rsid w:val="00495EBE"/>
    <w:rsid w:val="004A6798"/>
    <w:rsid w:val="004C705D"/>
    <w:rsid w:val="004F06AF"/>
    <w:rsid w:val="005038C9"/>
    <w:rsid w:val="005B3D47"/>
    <w:rsid w:val="006336F8"/>
    <w:rsid w:val="00730371"/>
    <w:rsid w:val="007553D6"/>
    <w:rsid w:val="00784FDD"/>
    <w:rsid w:val="00841663"/>
    <w:rsid w:val="00916B7C"/>
    <w:rsid w:val="00972E30"/>
    <w:rsid w:val="00976FF4"/>
    <w:rsid w:val="009D0E4D"/>
    <w:rsid w:val="00A26860"/>
    <w:rsid w:val="00B5130F"/>
    <w:rsid w:val="00B57A2F"/>
    <w:rsid w:val="00C25918"/>
    <w:rsid w:val="00C54469"/>
    <w:rsid w:val="00D41C8D"/>
    <w:rsid w:val="00D77637"/>
    <w:rsid w:val="00EA51C7"/>
    <w:rsid w:val="00ED638E"/>
    <w:rsid w:val="00F4071B"/>
    <w:rsid w:val="00F52575"/>
    <w:rsid w:val="00FD25EF"/>
    <w:rsid w:val="014E019A"/>
    <w:rsid w:val="02B61C06"/>
    <w:rsid w:val="03411AC0"/>
    <w:rsid w:val="04766B9A"/>
    <w:rsid w:val="04C9775F"/>
    <w:rsid w:val="056770F6"/>
    <w:rsid w:val="05A7228E"/>
    <w:rsid w:val="05BC1357"/>
    <w:rsid w:val="06A96CD6"/>
    <w:rsid w:val="06B07983"/>
    <w:rsid w:val="076F0C3B"/>
    <w:rsid w:val="079F5BFB"/>
    <w:rsid w:val="07FA2B8A"/>
    <w:rsid w:val="07FD191E"/>
    <w:rsid w:val="09F0771B"/>
    <w:rsid w:val="09F15029"/>
    <w:rsid w:val="0BBE4D77"/>
    <w:rsid w:val="0C0C4C30"/>
    <w:rsid w:val="0D1535F1"/>
    <w:rsid w:val="0EDA0931"/>
    <w:rsid w:val="0F84246F"/>
    <w:rsid w:val="11041255"/>
    <w:rsid w:val="11A77389"/>
    <w:rsid w:val="11C60994"/>
    <w:rsid w:val="12BE7C32"/>
    <w:rsid w:val="130B3BF5"/>
    <w:rsid w:val="13B8749D"/>
    <w:rsid w:val="166C5B81"/>
    <w:rsid w:val="1741726D"/>
    <w:rsid w:val="177A2E47"/>
    <w:rsid w:val="17AB3016"/>
    <w:rsid w:val="17CB670B"/>
    <w:rsid w:val="17FB060F"/>
    <w:rsid w:val="1B7567E8"/>
    <w:rsid w:val="1BAC1BCF"/>
    <w:rsid w:val="1DB24BA7"/>
    <w:rsid w:val="1F584F8C"/>
    <w:rsid w:val="20280539"/>
    <w:rsid w:val="210B35F5"/>
    <w:rsid w:val="220A14AB"/>
    <w:rsid w:val="22186D27"/>
    <w:rsid w:val="22835BB9"/>
    <w:rsid w:val="239F19BC"/>
    <w:rsid w:val="23A12B3B"/>
    <w:rsid w:val="263B7B10"/>
    <w:rsid w:val="277420AE"/>
    <w:rsid w:val="2878725F"/>
    <w:rsid w:val="2A692BC8"/>
    <w:rsid w:val="2AC60B63"/>
    <w:rsid w:val="2B593A95"/>
    <w:rsid w:val="2E9F0DE4"/>
    <w:rsid w:val="2F1944A5"/>
    <w:rsid w:val="2F3B704A"/>
    <w:rsid w:val="30996A3C"/>
    <w:rsid w:val="31FD6091"/>
    <w:rsid w:val="34164DD2"/>
    <w:rsid w:val="34642668"/>
    <w:rsid w:val="36367255"/>
    <w:rsid w:val="377754D3"/>
    <w:rsid w:val="37CB2E0A"/>
    <w:rsid w:val="38017441"/>
    <w:rsid w:val="39EB1A32"/>
    <w:rsid w:val="3ACB505C"/>
    <w:rsid w:val="3D097F51"/>
    <w:rsid w:val="40071E4B"/>
    <w:rsid w:val="407039BE"/>
    <w:rsid w:val="41124B50"/>
    <w:rsid w:val="42D46B3F"/>
    <w:rsid w:val="43C1010B"/>
    <w:rsid w:val="452B2B72"/>
    <w:rsid w:val="45A370CE"/>
    <w:rsid w:val="45A656D1"/>
    <w:rsid w:val="46CB0FF5"/>
    <w:rsid w:val="4943383E"/>
    <w:rsid w:val="4B000BF6"/>
    <w:rsid w:val="4CA94538"/>
    <w:rsid w:val="4D682880"/>
    <w:rsid w:val="4DBF70C2"/>
    <w:rsid w:val="4F500459"/>
    <w:rsid w:val="50511BFA"/>
    <w:rsid w:val="516D4104"/>
    <w:rsid w:val="52595776"/>
    <w:rsid w:val="52721EF8"/>
    <w:rsid w:val="52D87365"/>
    <w:rsid w:val="55183DA9"/>
    <w:rsid w:val="55E00ADC"/>
    <w:rsid w:val="56AD699B"/>
    <w:rsid w:val="57590536"/>
    <w:rsid w:val="57877B64"/>
    <w:rsid w:val="5797326C"/>
    <w:rsid w:val="58EC6E7C"/>
    <w:rsid w:val="5A071323"/>
    <w:rsid w:val="5B160127"/>
    <w:rsid w:val="5B707710"/>
    <w:rsid w:val="5D1C2197"/>
    <w:rsid w:val="5D2F623E"/>
    <w:rsid w:val="5E6D23C4"/>
    <w:rsid w:val="5ED25CAC"/>
    <w:rsid w:val="5EF13BC0"/>
    <w:rsid w:val="5FCB5A01"/>
    <w:rsid w:val="60DC15D1"/>
    <w:rsid w:val="60FC2DB2"/>
    <w:rsid w:val="6211320F"/>
    <w:rsid w:val="62ED026B"/>
    <w:rsid w:val="6817751E"/>
    <w:rsid w:val="684438B6"/>
    <w:rsid w:val="6922199E"/>
    <w:rsid w:val="69EC1648"/>
    <w:rsid w:val="6ABE562B"/>
    <w:rsid w:val="6C0D0D3B"/>
    <w:rsid w:val="6D0E3F4B"/>
    <w:rsid w:val="6D7B71C6"/>
    <w:rsid w:val="6D917846"/>
    <w:rsid w:val="6DDA47CC"/>
    <w:rsid w:val="6EDB2C09"/>
    <w:rsid w:val="6F0A1713"/>
    <w:rsid w:val="6F300474"/>
    <w:rsid w:val="702B3D1C"/>
    <w:rsid w:val="70DB0208"/>
    <w:rsid w:val="71E21D79"/>
    <w:rsid w:val="73360B0B"/>
    <w:rsid w:val="77B0005F"/>
    <w:rsid w:val="786C7143"/>
    <w:rsid w:val="7A1D4B22"/>
    <w:rsid w:val="7A6C247A"/>
    <w:rsid w:val="7B303489"/>
    <w:rsid w:val="7BB57BFB"/>
    <w:rsid w:val="7C3328A4"/>
    <w:rsid w:val="7CFA650B"/>
    <w:rsid w:val="7D1E7E9A"/>
    <w:rsid w:val="7D3930A5"/>
    <w:rsid w:val="7E3A6E73"/>
    <w:rsid w:val="7F007E9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9"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59"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3"/>
    <w:basedOn w:val="1"/>
    <w:next w:val="1"/>
    <w:link w:val="20"/>
    <w:unhideWhenUsed/>
    <w:qFormat/>
    <w:uiPriority w:val="9"/>
    <w:pPr>
      <w:keepNext/>
      <w:keepLines/>
      <w:spacing w:line="360" w:lineRule="auto"/>
      <w:outlineLvl w:val="2"/>
    </w:pPr>
    <w:rPr>
      <w:b/>
      <w:bCs/>
      <w:sz w:val="24"/>
      <w:szCs w:val="32"/>
    </w:rPr>
  </w:style>
  <w:style w:type="character" w:default="1" w:styleId="11">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3">
    <w:name w:val="Body Text"/>
    <w:basedOn w:val="1"/>
    <w:link w:val="16"/>
    <w:qFormat/>
    <w:uiPriority w:val="1"/>
    <w:pPr>
      <w:autoSpaceDE w:val="0"/>
      <w:autoSpaceDN w:val="0"/>
      <w:jc w:val="left"/>
    </w:pPr>
    <w:rPr>
      <w:rFonts w:ascii="宋体" w:hAnsi="宋体" w:eastAsia="宋体" w:cs="宋体"/>
      <w:kern w:val="0"/>
      <w:sz w:val="24"/>
      <w:szCs w:val="24"/>
      <w:lang w:val="zh-CN" w:bidi="zh-CN"/>
    </w:rPr>
  </w:style>
  <w:style w:type="paragraph" w:styleId="4">
    <w:name w:val="Plain Text"/>
    <w:basedOn w:val="1"/>
    <w:qFormat/>
    <w:uiPriority w:val="0"/>
    <w:pPr>
      <w:spacing w:before="156" w:beforeLines="50" w:after="156" w:afterLines="50" w:line="400" w:lineRule="exact"/>
    </w:pPr>
    <w:rPr>
      <w:rFonts w:ascii="宋体" w:hAnsi="Courier New"/>
      <w:sz w:val="24"/>
    </w:rPr>
  </w:style>
  <w:style w:type="paragraph" w:styleId="5">
    <w:name w:val="Balloon Text"/>
    <w:basedOn w:val="1"/>
    <w:link w:val="15"/>
    <w:qFormat/>
    <w:uiPriority w:val="0"/>
    <w:rPr>
      <w:sz w:val="18"/>
      <w:szCs w:val="18"/>
    </w:rPr>
  </w:style>
  <w:style w:type="paragraph" w:styleId="6">
    <w:name w:val="footer"/>
    <w:basedOn w:val="1"/>
    <w:qFormat/>
    <w:uiPriority w:val="99"/>
    <w:pPr>
      <w:tabs>
        <w:tab w:val="center" w:pos="4153"/>
        <w:tab w:val="right" w:pos="8306"/>
      </w:tabs>
      <w:snapToGrid w:val="0"/>
      <w:jc w:val="left"/>
    </w:pPr>
    <w:rPr>
      <w:sz w:val="18"/>
      <w:szCs w:val="18"/>
    </w:rPr>
  </w:style>
  <w:style w:type="paragraph" w:styleId="7">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8">
    <w:name w:val="Subtitle"/>
    <w:basedOn w:val="1"/>
    <w:next w:val="1"/>
    <w:link w:val="17"/>
    <w:qFormat/>
    <w:uiPriority w:val="11"/>
    <w:pPr>
      <w:spacing w:before="240" w:after="60" w:line="312" w:lineRule="auto"/>
      <w:jc w:val="center"/>
      <w:outlineLvl w:val="1"/>
    </w:pPr>
    <w:rPr>
      <w:b/>
      <w:bCs/>
      <w:kern w:val="28"/>
      <w:sz w:val="32"/>
      <w:szCs w:val="32"/>
    </w:rPr>
  </w:style>
  <w:style w:type="table" w:styleId="10">
    <w:name w:val="Table Grid"/>
    <w:basedOn w:val="9"/>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customStyle="1" w:styleId="13">
    <w:name w:val="apple-style-span"/>
    <w:basedOn w:val="11"/>
    <w:qFormat/>
    <w:uiPriority w:val="0"/>
  </w:style>
  <w:style w:type="character" w:customStyle="1" w:styleId="14">
    <w:name w:val="页眉 Char"/>
    <w:basedOn w:val="11"/>
    <w:link w:val="7"/>
    <w:qFormat/>
    <w:uiPriority w:val="0"/>
    <w:rPr>
      <w:rFonts w:asciiTheme="minorHAnsi" w:hAnsiTheme="minorHAnsi" w:eastAsiaTheme="minorEastAsia" w:cstheme="minorBidi"/>
      <w:kern w:val="2"/>
      <w:sz w:val="18"/>
      <w:szCs w:val="18"/>
    </w:rPr>
  </w:style>
  <w:style w:type="character" w:customStyle="1" w:styleId="15">
    <w:name w:val="批注框文本 Char"/>
    <w:basedOn w:val="11"/>
    <w:link w:val="5"/>
    <w:qFormat/>
    <w:uiPriority w:val="0"/>
    <w:rPr>
      <w:rFonts w:asciiTheme="minorHAnsi" w:hAnsiTheme="minorHAnsi" w:eastAsiaTheme="minorEastAsia" w:cstheme="minorBidi"/>
      <w:kern w:val="2"/>
      <w:sz w:val="18"/>
      <w:szCs w:val="18"/>
    </w:rPr>
  </w:style>
  <w:style w:type="character" w:customStyle="1" w:styleId="16">
    <w:name w:val="正文文本 Char"/>
    <w:basedOn w:val="11"/>
    <w:link w:val="3"/>
    <w:qFormat/>
    <w:uiPriority w:val="1"/>
    <w:rPr>
      <w:rFonts w:ascii="宋体" w:hAnsi="宋体" w:cs="宋体"/>
      <w:sz w:val="24"/>
      <w:szCs w:val="24"/>
      <w:lang w:val="zh-CN" w:bidi="zh-CN"/>
    </w:rPr>
  </w:style>
  <w:style w:type="character" w:customStyle="1" w:styleId="17">
    <w:name w:val="副标题 Char"/>
    <w:basedOn w:val="11"/>
    <w:link w:val="8"/>
    <w:qFormat/>
    <w:uiPriority w:val="11"/>
    <w:rPr>
      <w:rFonts w:asciiTheme="minorHAnsi" w:hAnsiTheme="minorHAnsi" w:eastAsiaTheme="minorEastAsia" w:cstheme="minorBidi"/>
      <w:b/>
      <w:bCs/>
      <w:kern w:val="28"/>
      <w:sz w:val="32"/>
      <w:szCs w:val="32"/>
    </w:rPr>
  </w:style>
  <w:style w:type="paragraph" w:styleId="18">
    <w:name w:val="List Paragraph"/>
    <w:basedOn w:val="1"/>
    <w:link w:val="19"/>
    <w:qFormat/>
    <w:uiPriority w:val="34"/>
    <w:pPr>
      <w:widowControl/>
      <w:ind w:firstLine="420" w:firstLineChars="200"/>
      <w:jc w:val="left"/>
    </w:pPr>
    <w:rPr>
      <w:szCs w:val="21"/>
    </w:rPr>
  </w:style>
  <w:style w:type="character" w:customStyle="1" w:styleId="19">
    <w:name w:val="列出段落 Char"/>
    <w:link w:val="18"/>
    <w:qFormat/>
    <w:uiPriority w:val="34"/>
    <w:rPr>
      <w:rFonts w:asciiTheme="minorHAnsi" w:hAnsiTheme="minorHAnsi" w:eastAsiaTheme="minorEastAsia" w:cstheme="minorBidi"/>
      <w:kern w:val="2"/>
      <w:sz w:val="21"/>
      <w:szCs w:val="21"/>
    </w:rPr>
  </w:style>
  <w:style w:type="character" w:customStyle="1" w:styleId="20">
    <w:name w:val="标题 3 Char"/>
    <w:basedOn w:val="11"/>
    <w:link w:val="2"/>
    <w:qFormat/>
    <w:uiPriority w:val="9"/>
    <w:rPr>
      <w:rFonts w:asciiTheme="minorHAnsi" w:hAnsiTheme="minorHAnsi" w:eastAsiaTheme="minorEastAsia" w:cstheme="minorBidi"/>
      <w:b/>
      <w:bCs/>
      <w:kern w:val="2"/>
      <w:sz w:val="24"/>
      <w:szCs w:val="32"/>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HP</Company>
  <Pages>3</Pages>
  <Words>362</Words>
  <Characters>2065</Characters>
  <Lines>17</Lines>
  <Paragraphs>4</Paragraphs>
  <TotalTime>3</TotalTime>
  <ScaleCrop>false</ScaleCrop>
  <LinksUpToDate>false</LinksUpToDate>
  <CharactersWithSpaces>2423</CharactersWithSpaces>
  <Application>WPS Office_11.8.2.10154_F1E327BC-269C-435d-A152-05C5408002CA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2024-04-01T06:08:00Z</dcterms:created>
  <dc:creator>J</dc:creator>
  <cp:lastModifiedBy>J</cp:lastModifiedBy>
  <cp:lastPrinted>2021-06-28T06:10:00Z</cp:lastPrinted>
  <dcterms:modified xsi:type="dcterms:W3CDTF">2024-04-07T01:28:06Z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2052-11.8.2.10154</vt:lpwstr>
  </property>
  <property fmtid="{D5CDD505-2E9C-101B-9397-08002B2CF9AE}" pid="3" name="ICV">
    <vt:lpwstr>8F8F9F2C567B4D3F8273C3F4C5ABCDCD</vt:lpwstr>
  </property>
</Properties>
</file>